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A" w:rsidRPr="007F058B" w:rsidRDefault="0028330A" w:rsidP="00770862">
      <w:pPr>
        <w:jc w:val="center"/>
        <w:rPr>
          <w:b/>
          <w:sz w:val="22"/>
          <w:szCs w:val="22"/>
          <w:u w:val="single"/>
        </w:rPr>
      </w:pPr>
      <w:r w:rsidRPr="007F058B">
        <w:rPr>
          <w:b/>
          <w:sz w:val="22"/>
          <w:szCs w:val="22"/>
          <w:u w:val="single"/>
        </w:rPr>
        <w:t>Тарифы ЗАО «</w:t>
      </w:r>
      <w:proofErr w:type="gramStart"/>
      <w:r w:rsidRPr="007F058B">
        <w:rPr>
          <w:b/>
          <w:sz w:val="22"/>
          <w:szCs w:val="22"/>
          <w:u w:val="single"/>
        </w:rPr>
        <w:t>Пензенская</w:t>
      </w:r>
      <w:proofErr w:type="gramEnd"/>
      <w:r w:rsidRPr="007F058B">
        <w:rPr>
          <w:b/>
          <w:sz w:val="22"/>
          <w:szCs w:val="22"/>
          <w:u w:val="single"/>
        </w:rPr>
        <w:t xml:space="preserve"> горэлектросеть» на 201</w:t>
      </w:r>
      <w:r w:rsidR="00F13F6D">
        <w:rPr>
          <w:b/>
          <w:sz w:val="22"/>
          <w:szCs w:val="22"/>
          <w:u w:val="single"/>
        </w:rPr>
        <w:t>6</w:t>
      </w:r>
      <w:r w:rsidRPr="007F058B">
        <w:rPr>
          <w:b/>
          <w:sz w:val="22"/>
          <w:szCs w:val="22"/>
          <w:u w:val="single"/>
        </w:rPr>
        <w:t xml:space="preserve"> год</w:t>
      </w:r>
    </w:p>
    <w:p w:rsidR="00724041" w:rsidRPr="007F058B" w:rsidRDefault="00724041" w:rsidP="00770862">
      <w:pPr>
        <w:jc w:val="center"/>
        <w:rPr>
          <w:b/>
          <w:sz w:val="22"/>
          <w:szCs w:val="22"/>
          <w:u w:val="single"/>
        </w:rPr>
      </w:pPr>
    </w:p>
    <w:p w:rsidR="00780AA9" w:rsidRPr="007F058B" w:rsidRDefault="00453361" w:rsidP="0077086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>Индивидуальные т</w:t>
      </w:r>
      <w:r w:rsidR="00780AA9" w:rsidRPr="007F058B">
        <w:rPr>
          <w:b/>
          <w:sz w:val="22"/>
          <w:szCs w:val="22"/>
        </w:rPr>
        <w:t xml:space="preserve">арифы на </w:t>
      </w:r>
      <w:r w:rsidR="00A646FC" w:rsidRPr="007F058B">
        <w:rPr>
          <w:b/>
          <w:sz w:val="22"/>
          <w:szCs w:val="22"/>
        </w:rPr>
        <w:t xml:space="preserve">услуги по </w:t>
      </w:r>
      <w:r w:rsidR="00780AA9" w:rsidRPr="007F058B">
        <w:rPr>
          <w:b/>
          <w:sz w:val="22"/>
          <w:szCs w:val="22"/>
        </w:rPr>
        <w:t>передач</w:t>
      </w:r>
      <w:r w:rsidR="00A646FC" w:rsidRPr="007F058B">
        <w:rPr>
          <w:b/>
          <w:sz w:val="22"/>
          <w:szCs w:val="22"/>
        </w:rPr>
        <w:t>е</w:t>
      </w:r>
      <w:r w:rsidR="00780AA9" w:rsidRPr="007F058B">
        <w:rPr>
          <w:b/>
          <w:sz w:val="22"/>
          <w:szCs w:val="22"/>
        </w:rPr>
        <w:t xml:space="preserve"> электрической энергии</w:t>
      </w:r>
      <w:r w:rsidRPr="007F058B">
        <w:rPr>
          <w:b/>
          <w:sz w:val="22"/>
          <w:szCs w:val="22"/>
        </w:rPr>
        <w:t xml:space="preserve"> для взаиморасчетов между сетевыми организациями</w:t>
      </w:r>
      <w:r w:rsidR="00780AA9" w:rsidRPr="007F058B">
        <w:rPr>
          <w:b/>
          <w:sz w:val="22"/>
          <w:szCs w:val="22"/>
        </w:rPr>
        <w:t>:</w:t>
      </w:r>
    </w:p>
    <w:p w:rsidR="00770862" w:rsidRPr="007F058B" w:rsidRDefault="00770862" w:rsidP="00770862">
      <w:pPr>
        <w:ind w:left="360"/>
        <w:jc w:val="both"/>
        <w:rPr>
          <w:b/>
          <w:sz w:val="22"/>
          <w:szCs w:val="22"/>
        </w:rPr>
      </w:pPr>
    </w:p>
    <w:p w:rsidR="00276B0E" w:rsidRPr="007F058B" w:rsidRDefault="00780AA9" w:rsidP="008E283C">
      <w:pPr>
        <w:ind w:firstLine="708"/>
        <w:jc w:val="both"/>
        <w:rPr>
          <w:sz w:val="22"/>
          <w:szCs w:val="22"/>
        </w:rPr>
      </w:pPr>
      <w:r w:rsidRPr="007F058B">
        <w:rPr>
          <w:sz w:val="22"/>
          <w:szCs w:val="22"/>
        </w:rPr>
        <w:t>Тариф</w:t>
      </w:r>
      <w:r w:rsidR="00276B0E" w:rsidRPr="007F058B">
        <w:rPr>
          <w:sz w:val="22"/>
          <w:szCs w:val="22"/>
        </w:rPr>
        <w:t>ы</w:t>
      </w:r>
      <w:r w:rsidRPr="007F058B">
        <w:rPr>
          <w:sz w:val="22"/>
          <w:szCs w:val="22"/>
        </w:rPr>
        <w:t xml:space="preserve"> на </w:t>
      </w:r>
      <w:r w:rsidR="00830667" w:rsidRPr="007F058B">
        <w:rPr>
          <w:sz w:val="22"/>
          <w:szCs w:val="22"/>
        </w:rPr>
        <w:t xml:space="preserve">услуги по </w:t>
      </w:r>
      <w:r w:rsidRPr="007F058B">
        <w:rPr>
          <w:sz w:val="22"/>
          <w:szCs w:val="22"/>
        </w:rPr>
        <w:t>передач</w:t>
      </w:r>
      <w:r w:rsidR="00830667" w:rsidRPr="007F058B">
        <w:rPr>
          <w:sz w:val="22"/>
          <w:szCs w:val="22"/>
        </w:rPr>
        <w:t>е</w:t>
      </w:r>
      <w:r w:rsidRPr="007F058B">
        <w:rPr>
          <w:sz w:val="22"/>
          <w:szCs w:val="22"/>
        </w:rPr>
        <w:t xml:space="preserve"> электрической энергии </w:t>
      </w:r>
      <w:r w:rsidR="00276B0E" w:rsidRPr="007F058B">
        <w:rPr>
          <w:sz w:val="22"/>
          <w:szCs w:val="22"/>
        </w:rPr>
        <w:t>на 201</w:t>
      </w:r>
      <w:r w:rsidR="00F13F6D">
        <w:rPr>
          <w:sz w:val="22"/>
          <w:szCs w:val="22"/>
        </w:rPr>
        <w:t>6</w:t>
      </w:r>
      <w:r w:rsidR="00276B0E" w:rsidRPr="007F058B">
        <w:rPr>
          <w:sz w:val="22"/>
          <w:szCs w:val="22"/>
        </w:rPr>
        <w:t xml:space="preserve"> г. </w:t>
      </w:r>
      <w:r w:rsidRPr="007F058B">
        <w:rPr>
          <w:sz w:val="22"/>
          <w:szCs w:val="22"/>
        </w:rPr>
        <w:t>установлен</w:t>
      </w:r>
      <w:r w:rsidR="00276B0E" w:rsidRPr="007F058B">
        <w:rPr>
          <w:sz w:val="22"/>
          <w:szCs w:val="22"/>
        </w:rPr>
        <w:t>ы</w:t>
      </w:r>
      <w:r w:rsidRPr="007F058B">
        <w:rPr>
          <w:sz w:val="22"/>
          <w:szCs w:val="22"/>
        </w:rPr>
        <w:t xml:space="preserve"> </w:t>
      </w:r>
      <w:r w:rsidR="00276B0E" w:rsidRPr="007F058B">
        <w:rPr>
          <w:sz w:val="22"/>
          <w:szCs w:val="22"/>
        </w:rPr>
        <w:t>с календарной разбивкой по полугодиям:</w:t>
      </w:r>
    </w:p>
    <w:p w:rsidR="00276B0E" w:rsidRPr="007F058B" w:rsidRDefault="00780AA9" w:rsidP="008E283C">
      <w:pPr>
        <w:ind w:firstLine="708"/>
        <w:jc w:val="both"/>
        <w:rPr>
          <w:sz w:val="22"/>
          <w:szCs w:val="22"/>
        </w:rPr>
      </w:pPr>
      <w:r w:rsidRPr="007F058B">
        <w:rPr>
          <w:sz w:val="22"/>
          <w:szCs w:val="22"/>
        </w:rPr>
        <w:t>с 01.01.201</w:t>
      </w:r>
      <w:r w:rsidR="00F13F6D">
        <w:rPr>
          <w:sz w:val="22"/>
          <w:szCs w:val="22"/>
        </w:rPr>
        <w:t>6</w:t>
      </w:r>
      <w:r w:rsidRPr="007F058B">
        <w:rPr>
          <w:sz w:val="22"/>
          <w:szCs w:val="22"/>
        </w:rPr>
        <w:t xml:space="preserve"> г. по 30.06.201</w:t>
      </w:r>
      <w:r w:rsidR="00F13F6D">
        <w:rPr>
          <w:sz w:val="22"/>
          <w:szCs w:val="22"/>
        </w:rPr>
        <w:t>6</w:t>
      </w:r>
      <w:r w:rsidRPr="007F058B">
        <w:rPr>
          <w:sz w:val="22"/>
          <w:szCs w:val="22"/>
        </w:rPr>
        <w:t xml:space="preserve"> г. </w:t>
      </w:r>
      <w:r w:rsidR="006D5610">
        <w:rPr>
          <w:sz w:val="22"/>
          <w:szCs w:val="22"/>
        </w:rPr>
        <w:t xml:space="preserve">и </w:t>
      </w:r>
      <w:r w:rsidR="006D5610" w:rsidRPr="007F058B">
        <w:rPr>
          <w:sz w:val="22"/>
          <w:szCs w:val="22"/>
        </w:rPr>
        <w:t>с 01.07.201</w:t>
      </w:r>
      <w:r w:rsidR="006D5610">
        <w:rPr>
          <w:sz w:val="22"/>
          <w:szCs w:val="22"/>
        </w:rPr>
        <w:t>6</w:t>
      </w:r>
      <w:r w:rsidR="006D5610" w:rsidRPr="007F058B">
        <w:rPr>
          <w:sz w:val="22"/>
          <w:szCs w:val="22"/>
        </w:rPr>
        <w:t xml:space="preserve"> г. по 31.12.201</w:t>
      </w:r>
      <w:r w:rsidR="006D5610">
        <w:rPr>
          <w:sz w:val="22"/>
          <w:szCs w:val="22"/>
        </w:rPr>
        <w:t>6</w:t>
      </w:r>
      <w:r w:rsidR="006D5610" w:rsidRPr="007F058B">
        <w:rPr>
          <w:sz w:val="22"/>
          <w:szCs w:val="22"/>
        </w:rPr>
        <w:t xml:space="preserve"> г. </w:t>
      </w:r>
      <w:r w:rsidR="006D5610">
        <w:rPr>
          <w:sz w:val="22"/>
          <w:szCs w:val="22"/>
        </w:rPr>
        <w:t xml:space="preserve"> </w:t>
      </w:r>
      <w:r w:rsidRPr="007F058B">
        <w:rPr>
          <w:sz w:val="22"/>
          <w:szCs w:val="22"/>
        </w:rPr>
        <w:t xml:space="preserve">согласно приложению № </w:t>
      </w:r>
      <w:r w:rsidR="00F13F6D">
        <w:rPr>
          <w:sz w:val="22"/>
          <w:szCs w:val="22"/>
        </w:rPr>
        <w:t>1</w:t>
      </w:r>
      <w:r w:rsidRPr="007F058B">
        <w:rPr>
          <w:sz w:val="22"/>
          <w:szCs w:val="22"/>
        </w:rPr>
        <w:t xml:space="preserve"> к приказу Управления по регулированию тарифов и энергосбережению Пензенской области от </w:t>
      </w:r>
      <w:r w:rsidR="00F13F6D">
        <w:rPr>
          <w:sz w:val="22"/>
          <w:szCs w:val="22"/>
        </w:rPr>
        <w:t>31</w:t>
      </w:r>
      <w:r w:rsidRPr="007F058B">
        <w:rPr>
          <w:sz w:val="22"/>
          <w:szCs w:val="22"/>
        </w:rPr>
        <w:t>.12.201</w:t>
      </w:r>
      <w:r w:rsidR="00F13F6D">
        <w:rPr>
          <w:sz w:val="22"/>
          <w:szCs w:val="22"/>
        </w:rPr>
        <w:t>5</w:t>
      </w:r>
      <w:r w:rsidRPr="007F058B">
        <w:rPr>
          <w:sz w:val="22"/>
          <w:szCs w:val="22"/>
        </w:rPr>
        <w:t xml:space="preserve"> г. № 1</w:t>
      </w:r>
      <w:r w:rsidR="00F13F6D">
        <w:rPr>
          <w:sz w:val="22"/>
          <w:szCs w:val="22"/>
        </w:rPr>
        <w:t>98</w:t>
      </w:r>
      <w:r w:rsidRPr="007F058B">
        <w:rPr>
          <w:sz w:val="22"/>
          <w:szCs w:val="22"/>
        </w:rPr>
        <w:t xml:space="preserve">, </w:t>
      </w:r>
    </w:p>
    <w:p w:rsidR="00161257" w:rsidRPr="007F058B" w:rsidRDefault="00F81A6D" w:rsidP="00F13F6D">
      <w:pPr>
        <w:ind w:firstLine="708"/>
        <w:jc w:val="both"/>
        <w:rPr>
          <w:sz w:val="22"/>
          <w:szCs w:val="22"/>
        </w:rPr>
      </w:pPr>
      <w:proofErr w:type="gramStart"/>
      <w:r w:rsidRPr="007F058B">
        <w:rPr>
          <w:sz w:val="22"/>
          <w:szCs w:val="22"/>
        </w:rPr>
        <w:t xml:space="preserve">Приказ </w:t>
      </w:r>
      <w:r w:rsidR="00161257" w:rsidRPr="007F058B">
        <w:rPr>
          <w:bCs/>
          <w:sz w:val="22"/>
          <w:szCs w:val="22"/>
        </w:rPr>
        <w:t>У</w:t>
      </w:r>
      <w:r w:rsidR="008E283C" w:rsidRPr="007F058B">
        <w:rPr>
          <w:bCs/>
          <w:sz w:val="22"/>
          <w:szCs w:val="22"/>
        </w:rPr>
        <w:t>правления по</w:t>
      </w:r>
      <w:r w:rsidR="00E56111" w:rsidRPr="007F058B">
        <w:rPr>
          <w:bCs/>
          <w:sz w:val="22"/>
          <w:szCs w:val="22"/>
        </w:rPr>
        <w:t xml:space="preserve"> р</w:t>
      </w:r>
      <w:r w:rsidR="008E283C" w:rsidRPr="007F058B">
        <w:rPr>
          <w:bCs/>
          <w:sz w:val="22"/>
          <w:szCs w:val="22"/>
        </w:rPr>
        <w:t xml:space="preserve">егулированию тарифов и энергосбережению </w:t>
      </w:r>
      <w:r w:rsidR="00161257" w:rsidRPr="007F058B">
        <w:rPr>
          <w:bCs/>
          <w:sz w:val="22"/>
          <w:szCs w:val="22"/>
        </w:rPr>
        <w:t>П</w:t>
      </w:r>
      <w:r w:rsidR="008E283C" w:rsidRPr="007F058B">
        <w:rPr>
          <w:bCs/>
          <w:sz w:val="22"/>
          <w:szCs w:val="22"/>
        </w:rPr>
        <w:t>ензенской</w:t>
      </w:r>
      <w:r w:rsidR="00E56111" w:rsidRPr="007F058B">
        <w:rPr>
          <w:bCs/>
          <w:sz w:val="22"/>
          <w:szCs w:val="22"/>
        </w:rPr>
        <w:t xml:space="preserve"> о</w:t>
      </w:r>
      <w:r w:rsidR="008E283C" w:rsidRPr="007F058B">
        <w:rPr>
          <w:bCs/>
          <w:sz w:val="22"/>
          <w:szCs w:val="22"/>
        </w:rPr>
        <w:t xml:space="preserve">бласти от </w:t>
      </w:r>
      <w:r w:rsidR="00F13F6D">
        <w:rPr>
          <w:sz w:val="22"/>
          <w:szCs w:val="22"/>
        </w:rPr>
        <w:t>31</w:t>
      </w:r>
      <w:r w:rsidR="00F13F6D" w:rsidRPr="007F058B">
        <w:rPr>
          <w:sz w:val="22"/>
          <w:szCs w:val="22"/>
        </w:rPr>
        <w:t>.12.201</w:t>
      </w:r>
      <w:r w:rsidR="00F13F6D">
        <w:rPr>
          <w:sz w:val="22"/>
          <w:szCs w:val="22"/>
        </w:rPr>
        <w:t>5</w:t>
      </w:r>
      <w:r w:rsidR="00F13F6D" w:rsidRPr="007F058B">
        <w:rPr>
          <w:sz w:val="22"/>
          <w:szCs w:val="22"/>
        </w:rPr>
        <w:t xml:space="preserve"> г. № 1</w:t>
      </w:r>
      <w:r w:rsidR="00F13F6D">
        <w:rPr>
          <w:sz w:val="22"/>
          <w:szCs w:val="22"/>
        </w:rPr>
        <w:t>98</w:t>
      </w:r>
      <w:r w:rsidR="008E283C" w:rsidRPr="007F058B">
        <w:rPr>
          <w:bCs/>
          <w:sz w:val="22"/>
          <w:szCs w:val="22"/>
        </w:rPr>
        <w:t xml:space="preserve"> "</w:t>
      </w:r>
      <w:r w:rsidR="00F13F6D" w:rsidRPr="00F13F6D">
        <w:rPr>
          <w:bCs/>
          <w:sz w:val="22"/>
          <w:szCs w:val="22"/>
        </w:rPr>
        <w:t>Об установлении индивидуальных тарифов на услуги по передаче</w:t>
      </w:r>
      <w:r w:rsidR="00F13F6D">
        <w:rPr>
          <w:bCs/>
          <w:sz w:val="22"/>
          <w:szCs w:val="22"/>
        </w:rPr>
        <w:t xml:space="preserve"> </w:t>
      </w:r>
      <w:r w:rsidR="00F13F6D" w:rsidRPr="00F13F6D">
        <w:rPr>
          <w:bCs/>
          <w:sz w:val="22"/>
          <w:szCs w:val="22"/>
        </w:rPr>
        <w:t>электрической энергии для взаиморасчетов между сетевыми организациями</w:t>
      </w:r>
      <w:r w:rsidR="00F13F6D">
        <w:rPr>
          <w:bCs/>
          <w:sz w:val="22"/>
          <w:szCs w:val="22"/>
        </w:rPr>
        <w:t xml:space="preserve"> </w:t>
      </w:r>
      <w:r w:rsidR="00F13F6D" w:rsidRPr="00F13F6D">
        <w:rPr>
          <w:bCs/>
          <w:sz w:val="22"/>
          <w:szCs w:val="22"/>
        </w:rPr>
        <w:t>Пензенской области с календарной разбивкой: с 1 января 2016 г. по 30 июня</w:t>
      </w:r>
      <w:r w:rsidR="00F13F6D">
        <w:rPr>
          <w:bCs/>
          <w:sz w:val="22"/>
          <w:szCs w:val="22"/>
        </w:rPr>
        <w:t xml:space="preserve"> </w:t>
      </w:r>
      <w:r w:rsidR="00F13F6D" w:rsidRPr="00F13F6D">
        <w:rPr>
          <w:bCs/>
          <w:sz w:val="22"/>
          <w:szCs w:val="22"/>
        </w:rPr>
        <w:t>2016 г. и с 1 июля 2016 г. по 31 декабря 2016 г.</w:t>
      </w:r>
      <w:r w:rsidR="008E283C" w:rsidRPr="007F058B">
        <w:rPr>
          <w:bCs/>
          <w:sz w:val="22"/>
          <w:szCs w:val="22"/>
        </w:rPr>
        <w:t>»</w:t>
      </w:r>
      <w:r w:rsidR="00161257" w:rsidRPr="007F058B">
        <w:rPr>
          <w:bCs/>
          <w:sz w:val="22"/>
          <w:szCs w:val="22"/>
        </w:rPr>
        <w:t xml:space="preserve"> </w:t>
      </w:r>
      <w:r w:rsidR="00161257" w:rsidRPr="007F058B">
        <w:rPr>
          <w:sz w:val="22"/>
          <w:szCs w:val="22"/>
        </w:rPr>
        <w:t xml:space="preserve">опубликован </w:t>
      </w:r>
      <w:r w:rsidR="00450EC9" w:rsidRPr="007F058B">
        <w:rPr>
          <w:sz w:val="22"/>
          <w:szCs w:val="22"/>
        </w:rPr>
        <w:t xml:space="preserve">на официальном сайте </w:t>
      </w:r>
      <w:r w:rsidR="00450EC9" w:rsidRPr="007F058B">
        <w:rPr>
          <w:bCs/>
          <w:sz w:val="22"/>
          <w:szCs w:val="22"/>
        </w:rPr>
        <w:t>Управления по</w:t>
      </w:r>
      <w:proofErr w:type="gramEnd"/>
      <w:r w:rsidR="00450EC9" w:rsidRPr="007F058B">
        <w:rPr>
          <w:bCs/>
          <w:sz w:val="22"/>
          <w:szCs w:val="22"/>
        </w:rPr>
        <w:t xml:space="preserve"> регулированию тарифов и энергосбережению Пензенской области в информационно-телекоммуникационной сети «Интернет»</w:t>
      </w:r>
      <w:r w:rsidR="00161257" w:rsidRPr="007F058B">
        <w:rPr>
          <w:sz w:val="22"/>
          <w:szCs w:val="22"/>
        </w:rPr>
        <w:t>.</w:t>
      </w:r>
    </w:p>
    <w:p w:rsidR="000C25D6" w:rsidRPr="007F058B" w:rsidRDefault="000C25D6" w:rsidP="00276B0E">
      <w:pPr>
        <w:ind w:firstLine="360"/>
        <w:jc w:val="center"/>
        <w:rPr>
          <w:b/>
          <w:sz w:val="22"/>
          <w:szCs w:val="22"/>
        </w:rPr>
      </w:pPr>
    </w:p>
    <w:p w:rsidR="00276B0E" w:rsidRPr="007F058B" w:rsidRDefault="00F81A6D" w:rsidP="00276B0E">
      <w:pPr>
        <w:ind w:firstLine="360"/>
        <w:jc w:val="center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 xml:space="preserve">Индивидуальные тарифы на услуги по передаче электрической энергии </w:t>
      </w:r>
    </w:p>
    <w:p w:rsidR="00F81A6D" w:rsidRPr="007F058B" w:rsidRDefault="00F81A6D" w:rsidP="00276B0E">
      <w:pPr>
        <w:ind w:firstLine="360"/>
        <w:jc w:val="center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>ЗАО «</w:t>
      </w:r>
      <w:proofErr w:type="gramStart"/>
      <w:r w:rsidRPr="007F058B">
        <w:rPr>
          <w:b/>
          <w:sz w:val="22"/>
          <w:szCs w:val="22"/>
        </w:rPr>
        <w:t>П</w:t>
      </w:r>
      <w:r w:rsidR="00276B0E" w:rsidRPr="007F058B">
        <w:rPr>
          <w:b/>
          <w:sz w:val="22"/>
          <w:szCs w:val="22"/>
        </w:rPr>
        <w:t>ензенская</w:t>
      </w:r>
      <w:proofErr w:type="gramEnd"/>
      <w:r w:rsidR="00276B0E" w:rsidRPr="007F058B">
        <w:rPr>
          <w:b/>
          <w:sz w:val="22"/>
          <w:szCs w:val="22"/>
        </w:rPr>
        <w:t xml:space="preserve"> горэлектросеть</w:t>
      </w:r>
      <w:r w:rsidRPr="007F058B">
        <w:rPr>
          <w:b/>
          <w:sz w:val="22"/>
          <w:szCs w:val="22"/>
        </w:rPr>
        <w:t>» на 201</w:t>
      </w:r>
      <w:r w:rsidR="007600BE">
        <w:rPr>
          <w:b/>
          <w:sz w:val="22"/>
          <w:szCs w:val="22"/>
        </w:rPr>
        <w:t>6</w:t>
      </w:r>
      <w:r w:rsidRPr="007F058B">
        <w:rPr>
          <w:b/>
          <w:sz w:val="22"/>
          <w:szCs w:val="22"/>
        </w:rPr>
        <w:t xml:space="preserve"> г.</w:t>
      </w:r>
    </w:p>
    <w:p w:rsidR="00770862" w:rsidRPr="007F058B" w:rsidRDefault="00770862" w:rsidP="00770862">
      <w:pPr>
        <w:ind w:firstLine="360"/>
        <w:jc w:val="both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129"/>
        <w:gridCol w:w="2265"/>
        <w:gridCol w:w="1935"/>
      </w:tblGrid>
      <w:tr w:rsidR="00563D69" w:rsidRPr="007F058B" w:rsidTr="005E1F82">
        <w:tc>
          <w:tcPr>
            <w:tcW w:w="2093" w:type="dxa"/>
            <w:vMerge w:val="restart"/>
            <w:vAlign w:val="center"/>
          </w:tcPr>
          <w:p w:rsidR="00563D69" w:rsidRPr="007F058B" w:rsidRDefault="000D6D36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 xml:space="preserve">Приложение № </w:t>
            </w:r>
            <w:r w:rsidR="007600BE">
              <w:rPr>
                <w:sz w:val="22"/>
                <w:szCs w:val="22"/>
              </w:rPr>
              <w:t>1</w:t>
            </w:r>
            <w:r w:rsidR="005E1F82" w:rsidRPr="007F058B">
              <w:rPr>
                <w:sz w:val="22"/>
                <w:szCs w:val="22"/>
              </w:rPr>
              <w:t xml:space="preserve"> к п</w:t>
            </w:r>
            <w:r w:rsidR="00CD5303" w:rsidRPr="007F058B">
              <w:rPr>
                <w:sz w:val="22"/>
                <w:szCs w:val="22"/>
              </w:rPr>
              <w:t>риказ</w:t>
            </w:r>
            <w:r w:rsidR="005E1F82" w:rsidRPr="007F058B">
              <w:rPr>
                <w:sz w:val="22"/>
                <w:szCs w:val="22"/>
              </w:rPr>
              <w:t>у</w:t>
            </w:r>
            <w:r w:rsidR="00CD5303" w:rsidRPr="007F058B">
              <w:rPr>
                <w:sz w:val="22"/>
                <w:szCs w:val="22"/>
              </w:rPr>
              <w:t xml:space="preserve"> № 1</w:t>
            </w:r>
            <w:r w:rsidR="007600BE">
              <w:rPr>
                <w:sz w:val="22"/>
                <w:szCs w:val="22"/>
              </w:rPr>
              <w:t>98</w:t>
            </w:r>
            <w:r w:rsidR="00CD5303" w:rsidRPr="007F058B">
              <w:rPr>
                <w:sz w:val="22"/>
                <w:szCs w:val="22"/>
              </w:rPr>
              <w:t xml:space="preserve"> от </w:t>
            </w:r>
            <w:r w:rsidR="007600BE">
              <w:rPr>
                <w:sz w:val="22"/>
                <w:szCs w:val="22"/>
              </w:rPr>
              <w:t>31</w:t>
            </w:r>
            <w:r w:rsidR="00CD5303" w:rsidRPr="007F058B">
              <w:rPr>
                <w:sz w:val="22"/>
                <w:szCs w:val="22"/>
              </w:rPr>
              <w:t>.12.201</w:t>
            </w:r>
            <w:r w:rsidR="007600BE">
              <w:rPr>
                <w:sz w:val="22"/>
                <w:szCs w:val="22"/>
              </w:rPr>
              <w:t>5</w:t>
            </w:r>
            <w:r w:rsidR="00CD5303" w:rsidRPr="007F058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 w:val="restart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4394" w:type="dxa"/>
            <w:gridSpan w:val="2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935" w:type="dxa"/>
            <w:vMerge w:val="restart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Одноставочный тариф</w:t>
            </w:r>
          </w:p>
        </w:tc>
      </w:tr>
      <w:tr w:rsidR="00F63C22" w:rsidRPr="007F058B" w:rsidTr="005E1F82">
        <w:tc>
          <w:tcPr>
            <w:tcW w:w="2093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2265" w:type="dxa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 xml:space="preserve">Ставка на </w:t>
            </w:r>
            <w:r w:rsidR="00A82DBB" w:rsidRPr="007F058B">
              <w:rPr>
                <w:sz w:val="22"/>
                <w:szCs w:val="22"/>
              </w:rPr>
              <w:t xml:space="preserve">оплату технологического расхода </w:t>
            </w:r>
            <w:r w:rsidRPr="007F058B">
              <w:rPr>
                <w:sz w:val="22"/>
                <w:szCs w:val="22"/>
              </w:rPr>
              <w:t>(потерь)</w:t>
            </w:r>
          </w:p>
        </w:tc>
        <w:tc>
          <w:tcPr>
            <w:tcW w:w="1935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</w:tr>
      <w:tr w:rsidR="00F63C22" w:rsidRPr="007F058B" w:rsidTr="005E1F82">
        <w:tc>
          <w:tcPr>
            <w:tcW w:w="2093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7F058B" w:rsidRDefault="00E80780" w:rsidP="004572C7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руб./</w:t>
            </w:r>
            <w:proofErr w:type="spellStart"/>
            <w:r w:rsidR="004572C7">
              <w:rPr>
                <w:sz w:val="22"/>
                <w:szCs w:val="22"/>
              </w:rPr>
              <w:t>М</w:t>
            </w:r>
            <w:r w:rsidRPr="007F058B">
              <w:rPr>
                <w:sz w:val="22"/>
                <w:szCs w:val="22"/>
              </w:rPr>
              <w:t>Вт</w:t>
            </w:r>
            <w:proofErr w:type="gramStart"/>
            <w:r w:rsidRPr="007F058B">
              <w:rPr>
                <w:sz w:val="22"/>
                <w:szCs w:val="22"/>
              </w:rPr>
              <w:t>.м</w:t>
            </w:r>
            <w:proofErr w:type="gramEnd"/>
            <w:r w:rsidRPr="007F058B">
              <w:rPr>
                <w:sz w:val="22"/>
                <w:szCs w:val="22"/>
              </w:rPr>
              <w:t>ес</w:t>
            </w:r>
            <w:proofErr w:type="spellEnd"/>
            <w:r w:rsidRPr="007F058B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vAlign w:val="center"/>
          </w:tcPr>
          <w:p w:rsidR="00563D69" w:rsidRPr="007F058B" w:rsidRDefault="00E80780" w:rsidP="00D51486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руб./</w:t>
            </w:r>
            <w:r w:rsidR="004572C7">
              <w:rPr>
                <w:sz w:val="22"/>
                <w:szCs w:val="22"/>
              </w:rPr>
              <w:t>М</w:t>
            </w:r>
            <w:r w:rsidRPr="007F058B">
              <w:rPr>
                <w:sz w:val="22"/>
                <w:szCs w:val="22"/>
              </w:rPr>
              <w:t>Вт.ч</w:t>
            </w:r>
          </w:p>
        </w:tc>
        <w:tc>
          <w:tcPr>
            <w:tcW w:w="1935" w:type="dxa"/>
            <w:vAlign w:val="center"/>
          </w:tcPr>
          <w:p w:rsidR="00563D69" w:rsidRPr="007F058B" w:rsidRDefault="00E80780" w:rsidP="00D51486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руб./</w:t>
            </w:r>
            <w:proofErr w:type="spellStart"/>
            <w:r w:rsidR="00D51486" w:rsidRPr="007F058B">
              <w:rPr>
                <w:sz w:val="22"/>
                <w:szCs w:val="22"/>
              </w:rPr>
              <w:t>к</w:t>
            </w:r>
            <w:r w:rsidRPr="007F058B">
              <w:rPr>
                <w:sz w:val="22"/>
                <w:szCs w:val="22"/>
              </w:rPr>
              <w:t>Вт</w:t>
            </w:r>
            <w:proofErr w:type="gramStart"/>
            <w:r w:rsidRPr="007F058B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</w:tr>
      <w:tr w:rsidR="00F63C22" w:rsidRPr="007F058B" w:rsidTr="005E1F82">
        <w:tc>
          <w:tcPr>
            <w:tcW w:w="2093" w:type="dxa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3D69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563D69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vAlign w:val="center"/>
          </w:tcPr>
          <w:p w:rsidR="00563D69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Align w:val="center"/>
          </w:tcPr>
          <w:p w:rsidR="00FF3CFC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4</w:t>
            </w:r>
          </w:p>
        </w:tc>
      </w:tr>
      <w:tr w:rsidR="00267E0B" w:rsidRPr="007F058B" w:rsidTr="005E1F82">
        <w:trPr>
          <w:trHeight w:val="629"/>
        </w:trPr>
        <w:tc>
          <w:tcPr>
            <w:tcW w:w="2093" w:type="dxa"/>
            <w:shd w:val="clear" w:color="auto" w:fill="auto"/>
            <w:vAlign w:val="center"/>
          </w:tcPr>
          <w:p w:rsidR="00267E0B" w:rsidRPr="007F058B" w:rsidRDefault="00A15E2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с 01.01.201</w:t>
            </w:r>
            <w:r w:rsidR="007600BE">
              <w:rPr>
                <w:sz w:val="22"/>
                <w:szCs w:val="22"/>
              </w:rPr>
              <w:t>6</w:t>
            </w:r>
            <w:r w:rsidRPr="007F058B">
              <w:rPr>
                <w:sz w:val="22"/>
                <w:szCs w:val="22"/>
              </w:rPr>
              <w:t xml:space="preserve"> г. по 30.06.201</w:t>
            </w:r>
            <w:r w:rsidR="007600BE">
              <w:rPr>
                <w:sz w:val="22"/>
                <w:szCs w:val="22"/>
              </w:rPr>
              <w:t>6</w:t>
            </w:r>
            <w:r w:rsidRPr="007F05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  <w:vMerge w:val="restart"/>
            <w:vAlign w:val="center"/>
          </w:tcPr>
          <w:p w:rsidR="00267E0B" w:rsidRPr="007F058B" w:rsidRDefault="00267E0B" w:rsidP="00F63C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58B">
              <w:rPr>
                <w:rFonts w:ascii="Times New Roman" w:hAnsi="Times New Roman" w:cs="Times New Roman"/>
                <w:sz w:val="22"/>
                <w:szCs w:val="22"/>
              </w:rPr>
              <w:t>Филиал ОАО "МРСК Волги</w:t>
            </w:r>
            <w:proofErr w:type="gramStart"/>
            <w:r w:rsidRPr="007F058B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7F058B">
              <w:rPr>
                <w:rFonts w:ascii="Times New Roman" w:hAnsi="Times New Roman" w:cs="Times New Roman"/>
                <w:sz w:val="22"/>
                <w:szCs w:val="22"/>
              </w:rPr>
              <w:t>"Пензаэнерго" – ЗАО "Пензенская горэлектросеть"</w:t>
            </w:r>
          </w:p>
        </w:tc>
        <w:tc>
          <w:tcPr>
            <w:tcW w:w="2129" w:type="dxa"/>
            <w:vAlign w:val="center"/>
          </w:tcPr>
          <w:p w:rsidR="004572C7" w:rsidRDefault="007600BE" w:rsidP="007600B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284</w:t>
            </w:r>
            <w:r w:rsidR="0045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382</w:t>
            </w:r>
            <w:r w:rsidR="004572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173</w:t>
            </w:r>
          </w:p>
          <w:p w:rsidR="00267E0B" w:rsidRPr="007F058B" w:rsidRDefault="00267E0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4572C7" w:rsidRDefault="007600BE" w:rsidP="007600B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206</w:t>
            </w:r>
            <w:r w:rsidR="004572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427</w:t>
            </w:r>
            <w:r w:rsidR="00267E0B" w:rsidRPr="007F058B">
              <w:rPr>
                <w:sz w:val="22"/>
                <w:szCs w:val="22"/>
              </w:rPr>
              <w:t xml:space="preserve"> </w:t>
            </w:r>
          </w:p>
          <w:p w:rsidR="00267E0B" w:rsidRPr="007F058B" w:rsidRDefault="00267E0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4572C7" w:rsidRDefault="004572C7" w:rsidP="002A4BB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0,847</w:t>
            </w:r>
            <w:r w:rsidRPr="007F058B">
              <w:rPr>
                <w:sz w:val="22"/>
                <w:szCs w:val="22"/>
              </w:rPr>
              <w:t xml:space="preserve"> </w:t>
            </w:r>
          </w:p>
          <w:p w:rsidR="00267E0B" w:rsidRPr="007F058B" w:rsidRDefault="00267E0B" w:rsidP="002A4BBB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</w:tr>
      <w:tr w:rsidR="00267E0B" w:rsidRPr="007F058B" w:rsidTr="005E1F82">
        <w:tc>
          <w:tcPr>
            <w:tcW w:w="2093" w:type="dxa"/>
            <w:shd w:val="clear" w:color="auto" w:fill="auto"/>
            <w:vAlign w:val="center"/>
          </w:tcPr>
          <w:p w:rsidR="00267E0B" w:rsidRPr="007F058B" w:rsidRDefault="00A15E2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с 01.07.201</w:t>
            </w:r>
            <w:r w:rsidR="007600BE">
              <w:rPr>
                <w:sz w:val="22"/>
                <w:szCs w:val="22"/>
              </w:rPr>
              <w:t>6</w:t>
            </w:r>
            <w:r w:rsidRPr="007F058B">
              <w:rPr>
                <w:sz w:val="22"/>
                <w:szCs w:val="22"/>
              </w:rPr>
              <w:t xml:space="preserve"> г. по 31.12.201</w:t>
            </w:r>
            <w:r w:rsidR="007600BE">
              <w:rPr>
                <w:sz w:val="22"/>
                <w:szCs w:val="22"/>
              </w:rPr>
              <w:t>6</w:t>
            </w:r>
            <w:r w:rsidRPr="007F058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267E0B" w:rsidRPr="007F058B" w:rsidRDefault="00267E0B" w:rsidP="007708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4572C7" w:rsidRDefault="007600BE" w:rsidP="00DE20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284</w:t>
            </w:r>
            <w:r w:rsidR="00040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382</w:t>
            </w:r>
            <w:r w:rsidR="004572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173</w:t>
            </w:r>
            <w:r w:rsidRPr="007F058B">
              <w:rPr>
                <w:sz w:val="22"/>
                <w:szCs w:val="22"/>
              </w:rPr>
              <w:t xml:space="preserve"> </w:t>
            </w:r>
          </w:p>
          <w:p w:rsidR="00267E0B" w:rsidRPr="007F058B" w:rsidRDefault="00267E0B" w:rsidP="00DE204D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4572C7" w:rsidRDefault="007600BE" w:rsidP="007600B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249</w:t>
            </w:r>
            <w:r w:rsidR="004572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056</w:t>
            </w:r>
            <w:r w:rsidRPr="007F058B">
              <w:rPr>
                <w:sz w:val="22"/>
                <w:szCs w:val="22"/>
              </w:rPr>
              <w:t xml:space="preserve"> </w:t>
            </w:r>
          </w:p>
          <w:p w:rsidR="00267E0B" w:rsidRPr="007F058B" w:rsidRDefault="00267E0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4572C7" w:rsidRDefault="004572C7" w:rsidP="002A4BB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0,886</w:t>
            </w:r>
            <w:r w:rsidRPr="007F058B">
              <w:rPr>
                <w:sz w:val="22"/>
                <w:szCs w:val="22"/>
              </w:rPr>
              <w:t xml:space="preserve"> </w:t>
            </w:r>
          </w:p>
          <w:p w:rsidR="00267E0B" w:rsidRPr="007F058B" w:rsidRDefault="00267E0B" w:rsidP="002A4BBB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</w:tr>
    </w:tbl>
    <w:p w:rsidR="0016647C" w:rsidRDefault="0016647C" w:rsidP="00CF6808">
      <w:pPr>
        <w:ind w:firstLine="360"/>
        <w:jc w:val="both"/>
        <w:rPr>
          <w:sz w:val="22"/>
          <w:szCs w:val="22"/>
        </w:rPr>
      </w:pPr>
    </w:p>
    <w:p w:rsidR="00B03AE2" w:rsidRDefault="00B03AE2" w:rsidP="00CF6808">
      <w:pPr>
        <w:ind w:firstLine="360"/>
        <w:jc w:val="both"/>
        <w:rPr>
          <w:sz w:val="22"/>
          <w:szCs w:val="22"/>
        </w:rPr>
      </w:pPr>
    </w:p>
    <w:p w:rsidR="00B945C0" w:rsidRPr="007F058B" w:rsidRDefault="00B945C0" w:rsidP="00CF6808">
      <w:pPr>
        <w:ind w:firstLine="360"/>
        <w:jc w:val="both"/>
        <w:rPr>
          <w:sz w:val="22"/>
          <w:szCs w:val="22"/>
        </w:rPr>
      </w:pPr>
    </w:p>
    <w:p w:rsidR="00B40944" w:rsidRPr="00B945C0" w:rsidRDefault="00B40944" w:rsidP="00D51486">
      <w:pPr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</w:rPr>
      </w:pPr>
      <w:r w:rsidRPr="00B945C0">
        <w:rPr>
          <w:b/>
          <w:bCs/>
          <w:sz w:val="22"/>
          <w:szCs w:val="22"/>
        </w:rPr>
        <w:t>2. Плата за технологическое присоединение</w:t>
      </w:r>
      <w:r w:rsidR="00D51486" w:rsidRPr="00B945C0">
        <w:rPr>
          <w:b/>
          <w:bCs/>
          <w:sz w:val="22"/>
          <w:szCs w:val="22"/>
        </w:rPr>
        <w:t xml:space="preserve"> </w:t>
      </w:r>
      <w:r w:rsidR="00D51486" w:rsidRPr="00B945C0">
        <w:rPr>
          <w:b/>
          <w:sz w:val="22"/>
          <w:szCs w:val="22"/>
        </w:rPr>
        <w:t>к электрическим сетям энергопринимающих устройств максимальной мощностью, не превышающей 15 к</w:t>
      </w:r>
      <w:proofErr w:type="gramStart"/>
      <w:r w:rsidR="00D51486" w:rsidRPr="00B945C0">
        <w:rPr>
          <w:b/>
          <w:sz w:val="22"/>
          <w:szCs w:val="22"/>
        </w:rPr>
        <w:t>Вт вкл</w:t>
      </w:r>
      <w:proofErr w:type="gramEnd"/>
      <w:r w:rsidR="00D51486" w:rsidRPr="00B945C0">
        <w:rPr>
          <w:b/>
          <w:sz w:val="22"/>
          <w:szCs w:val="22"/>
        </w:rPr>
        <w:t>ючительно</w:t>
      </w:r>
      <w:r w:rsidRPr="00B945C0">
        <w:rPr>
          <w:b/>
          <w:bCs/>
          <w:sz w:val="22"/>
          <w:szCs w:val="22"/>
        </w:rPr>
        <w:t>:</w:t>
      </w:r>
    </w:p>
    <w:p w:rsidR="00B40944" w:rsidRPr="00B945C0" w:rsidRDefault="00B40944" w:rsidP="00B409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294F" w:rsidRPr="00B945C0" w:rsidRDefault="0052421D" w:rsidP="00B945C0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B945C0">
        <w:rPr>
          <w:bCs/>
          <w:sz w:val="22"/>
          <w:szCs w:val="22"/>
        </w:rPr>
        <w:t>С</w:t>
      </w:r>
      <w:r w:rsidR="008B1013" w:rsidRPr="00B945C0">
        <w:rPr>
          <w:bCs/>
          <w:sz w:val="22"/>
          <w:szCs w:val="22"/>
        </w:rPr>
        <w:t xml:space="preserve"> </w:t>
      </w:r>
      <w:r w:rsidR="008B1013" w:rsidRPr="00B945C0">
        <w:rPr>
          <w:sz w:val="22"/>
          <w:szCs w:val="22"/>
        </w:rPr>
        <w:t>01.01.201</w:t>
      </w:r>
      <w:r w:rsidR="00B945C0" w:rsidRPr="00B945C0">
        <w:rPr>
          <w:sz w:val="22"/>
          <w:szCs w:val="22"/>
        </w:rPr>
        <w:t>6</w:t>
      </w:r>
      <w:r w:rsidR="008B1013" w:rsidRPr="00B945C0">
        <w:rPr>
          <w:sz w:val="22"/>
          <w:szCs w:val="22"/>
        </w:rPr>
        <w:t xml:space="preserve"> г. по 31.12.201</w:t>
      </w:r>
      <w:r w:rsidR="00B945C0" w:rsidRPr="00B945C0">
        <w:rPr>
          <w:sz w:val="22"/>
          <w:szCs w:val="22"/>
        </w:rPr>
        <w:t>6</w:t>
      </w:r>
      <w:r w:rsidR="008B1013" w:rsidRPr="00B945C0">
        <w:rPr>
          <w:sz w:val="22"/>
          <w:szCs w:val="22"/>
        </w:rPr>
        <w:t xml:space="preserve"> г. </w:t>
      </w:r>
      <w:r w:rsidR="008B1013" w:rsidRPr="00B945C0">
        <w:rPr>
          <w:b/>
          <w:bCs/>
          <w:sz w:val="22"/>
          <w:szCs w:val="22"/>
        </w:rPr>
        <w:t xml:space="preserve"> </w:t>
      </w:r>
      <w:r w:rsidR="00AA5544" w:rsidRPr="00B945C0">
        <w:rPr>
          <w:sz w:val="22"/>
          <w:szCs w:val="22"/>
        </w:rPr>
        <w:t>Приказ</w:t>
      </w:r>
      <w:r w:rsidR="00C15694" w:rsidRPr="00B945C0">
        <w:rPr>
          <w:sz w:val="22"/>
          <w:szCs w:val="22"/>
        </w:rPr>
        <w:t>ом</w:t>
      </w:r>
      <w:r w:rsidR="00AA5544" w:rsidRPr="00B945C0">
        <w:rPr>
          <w:sz w:val="22"/>
          <w:szCs w:val="22"/>
        </w:rPr>
        <w:t xml:space="preserve"> Управления по регулированию тарифов и энергосбережению Пензенской области от </w:t>
      </w:r>
      <w:r w:rsidR="00B945C0" w:rsidRPr="00B945C0">
        <w:rPr>
          <w:sz w:val="22"/>
          <w:szCs w:val="22"/>
        </w:rPr>
        <w:t>31</w:t>
      </w:r>
      <w:r w:rsidR="00AA5544" w:rsidRPr="00B945C0">
        <w:rPr>
          <w:sz w:val="22"/>
          <w:szCs w:val="22"/>
        </w:rPr>
        <w:t>.12.201</w:t>
      </w:r>
      <w:r w:rsidR="00B945C0" w:rsidRPr="00B945C0">
        <w:rPr>
          <w:sz w:val="22"/>
          <w:szCs w:val="22"/>
        </w:rPr>
        <w:t>5</w:t>
      </w:r>
      <w:r w:rsidR="00AA5544" w:rsidRPr="00B945C0">
        <w:rPr>
          <w:sz w:val="22"/>
          <w:szCs w:val="22"/>
        </w:rPr>
        <w:t xml:space="preserve"> </w:t>
      </w:r>
      <w:r w:rsidR="000C2C57" w:rsidRPr="00B945C0">
        <w:rPr>
          <w:sz w:val="22"/>
          <w:szCs w:val="22"/>
        </w:rPr>
        <w:t>г. №</w:t>
      </w:r>
      <w:r w:rsidR="00AA5544" w:rsidRPr="00B945C0">
        <w:rPr>
          <w:sz w:val="22"/>
          <w:szCs w:val="22"/>
        </w:rPr>
        <w:t xml:space="preserve"> 1</w:t>
      </w:r>
      <w:r w:rsidR="00B945C0" w:rsidRPr="00B945C0">
        <w:rPr>
          <w:sz w:val="22"/>
          <w:szCs w:val="22"/>
        </w:rPr>
        <w:t>89</w:t>
      </w:r>
      <w:r w:rsidR="00AA5544" w:rsidRPr="00B945C0">
        <w:rPr>
          <w:sz w:val="22"/>
          <w:szCs w:val="22"/>
        </w:rPr>
        <w:t xml:space="preserve"> </w:t>
      </w:r>
      <w:r w:rsidR="00B945C0">
        <w:rPr>
          <w:sz w:val="22"/>
          <w:szCs w:val="22"/>
        </w:rPr>
        <w:t>«</w:t>
      </w:r>
      <w:r w:rsidR="00B945C0" w:rsidRPr="00B945C0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="00B945C0">
        <w:rPr>
          <w:sz w:val="22"/>
          <w:szCs w:val="22"/>
        </w:rPr>
        <w:t xml:space="preserve">» </w:t>
      </w:r>
      <w:r w:rsidR="00B40944" w:rsidRPr="00B945C0">
        <w:rPr>
          <w:sz w:val="22"/>
          <w:szCs w:val="22"/>
        </w:rPr>
        <w:t xml:space="preserve">для </w:t>
      </w:r>
      <w:r w:rsidR="00B945C0" w:rsidRPr="00B945C0">
        <w:rPr>
          <w:sz w:val="22"/>
          <w:szCs w:val="22"/>
        </w:rPr>
        <w:t>заявителей, владеющих объектами, отнесенными к третьей</w:t>
      </w:r>
      <w:proofErr w:type="gramEnd"/>
      <w:r w:rsidR="00B945C0" w:rsidRPr="00B945C0">
        <w:rPr>
          <w:sz w:val="22"/>
          <w:szCs w:val="22"/>
        </w:rPr>
        <w:t xml:space="preserve"> </w:t>
      </w:r>
      <w:proofErr w:type="gramStart"/>
      <w:r w:rsidR="00B945C0" w:rsidRPr="00B945C0">
        <w:rPr>
          <w:sz w:val="22"/>
          <w:szCs w:val="22"/>
        </w:rPr>
        <w:t>категории надежности (по одному источнику электроснабжения) с максимальной мощностью, не превышающей 15 кВт включительно (с учетом ранее присоединенной в данной точке присоединения мощности), в размере 550 рублей (с учетом НДС) при условии,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организации, в которую подана заявка, составляет не более 300</w:t>
      </w:r>
      <w:proofErr w:type="gramEnd"/>
      <w:r w:rsidR="00B945C0" w:rsidRPr="00B945C0">
        <w:rPr>
          <w:sz w:val="22"/>
          <w:szCs w:val="22"/>
        </w:rPr>
        <w:t xml:space="preserve"> метров в городах и поселках городского типа и не более 500 метров в сельской местности.</w:t>
      </w:r>
    </w:p>
    <w:p w:rsidR="0069294F" w:rsidRPr="00B945C0" w:rsidRDefault="00B945C0" w:rsidP="00B945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945C0">
        <w:rPr>
          <w:sz w:val="22"/>
          <w:szCs w:val="22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</w:t>
      </w:r>
      <w:proofErr w:type="gramEnd"/>
      <w:r w:rsidRPr="00B945C0">
        <w:rPr>
          <w:sz w:val="22"/>
          <w:szCs w:val="22"/>
        </w:rPr>
        <w:t xml:space="preserve"> в течение 3 лет.</w:t>
      </w:r>
    </w:p>
    <w:p w:rsidR="00157C06" w:rsidRPr="00B945C0" w:rsidRDefault="00FE2277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 xml:space="preserve"> </w:t>
      </w:r>
      <w:proofErr w:type="gramStart"/>
      <w:r w:rsidR="00157C06" w:rsidRPr="00B945C0">
        <w:rPr>
          <w:sz w:val="22"/>
          <w:szCs w:val="22"/>
        </w:rPr>
        <w:t xml:space="preserve">Размер платы за технологическое присоединение энергопринимающих устройств заявителей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 и иные сооружения аналогичного назначения)  определяется в размере 550 рублей (с учетом НДС), умноженных на количество членов </w:t>
      </w:r>
      <w:r w:rsidR="0069294F" w:rsidRPr="00B945C0">
        <w:rPr>
          <w:sz w:val="22"/>
          <w:szCs w:val="22"/>
        </w:rPr>
        <w:t xml:space="preserve">этих </w:t>
      </w:r>
      <w:r w:rsidR="00157C06" w:rsidRPr="00B945C0">
        <w:rPr>
          <w:sz w:val="22"/>
          <w:szCs w:val="22"/>
        </w:rPr>
        <w:t>организаци</w:t>
      </w:r>
      <w:r w:rsidR="0069294F" w:rsidRPr="00B945C0">
        <w:rPr>
          <w:sz w:val="22"/>
          <w:szCs w:val="22"/>
        </w:rPr>
        <w:t>й</w:t>
      </w:r>
      <w:r w:rsidR="00157C06" w:rsidRPr="00B945C0">
        <w:rPr>
          <w:sz w:val="22"/>
          <w:szCs w:val="22"/>
        </w:rPr>
        <w:t xml:space="preserve"> (абонентов</w:t>
      </w:r>
      <w:r w:rsidR="0069294F" w:rsidRPr="00B945C0">
        <w:rPr>
          <w:sz w:val="22"/>
          <w:szCs w:val="22"/>
        </w:rPr>
        <w:t>, собственников построек</w:t>
      </w:r>
      <w:r w:rsidR="00157C06" w:rsidRPr="00B945C0">
        <w:rPr>
          <w:sz w:val="22"/>
          <w:szCs w:val="22"/>
        </w:rPr>
        <w:t>)</w:t>
      </w:r>
      <w:r w:rsidR="0069294F" w:rsidRPr="00B945C0">
        <w:rPr>
          <w:sz w:val="22"/>
          <w:szCs w:val="22"/>
        </w:rPr>
        <w:t xml:space="preserve">, </w:t>
      </w:r>
      <w:r w:rsidR="00157C06" w:rsidRPr="00B945C0">
        <w:rPr>
          <w:sz w:val="22"/>
          <w:szCs w:val="22"/>
        </w:rPr>
        <w:t>при условии присоединения каждым членом эт</w:t>
      </w:r>
      <w:r w:rsidR="0069294F" w:rsidRPr="00B945C0">
        <w:rPr>
          <w:sz w:val="22"/>
          <w:szCs w:val="22"/>
        </w:rPr>
        <w:t>ой организации не более</w:t>
      </w:r>
      <w:proofErr w:type="gramEnd"/>
      <w:r w:rsidR="0069294F" w:rsidRPr="00B945C0">
        <w:rPr>
          <w:sz w:val="22"/>
          <w:szCs w:val="22"/>
        </w:rPr>
        <w:t xml:space="preserve"> </w:t>
      </w:r>
      <w:proofErr w:type="gramStart"/>
      <w:r w:rsidR="0069294F" w:rsidRPr="00B945C0">
        <w:rPr>
          <w:sz w:val="22"/>
          <w:szCs w:val="22"/>
        </w:rPr>
        <w:t>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  электрическим сетям сетевой организации на уровне напряжения до 20 кВ включительно и нахождени</w:t>
      </w:r>
      <w:r w:rsidR="00BE0D9C" w:rsidRPr="00B945C0">
        <w:rPr>
          <w:sz w:val="22"/>
          <w:szCs w:val="22"/>
        </w:rPr>
        <w:t>я</w:t>
      </w:r>
      <w:r w:rsidR="0069294F" w:rsidRPr="00B945C0">
        <w:rPr>
          <w:sz w:val="22"/>
          <w:szCs w:val="22"/>
        </w:rPr>
        <w:t xml:space="preserve">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="0069294F" w:rsidRPr="00B945C0">
          <w:rPr>
            <w:sz w:val="22"/>
            <w:szCs w:val="22"/>
          </w:rPr>
          <w:t>300 метров</w:t>
        </w:r>
      </w:smartTag>
      <w:r w:rsidR="0069294F" w:rsidRPr="00B945C0">
        <w:rPr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="0069294F" w:rsidRPr="00B945C0">
          <w:rPr>
            <w:sz w:val="22"/>
            <w:szCs w:val="22"/>
          </w:rPr>
          <w:t>500 метров</w:t>
        </w:r>
      </w:smartTag>
      <w:r w:rsidR="0069294F" w:rsidRPr="00B945C0">
        <w:rPr>
          <w:sz w:val="22"/>
          <w:szCs w:val="22"/>
        </w:rPr>
        <w:t xml:space="preserve"> в сельской местности</w:t>
      </w:r>
      <w:proofErr w:type="gramEnd"/>
      <w:r w:rsidR="00BE0D9C" w:rsidRPr="00B945C0">
        <w:rPr>
          <w:sz w:val="22"/>
          <w:szCs w:val="22"/>
        </w:rPr>
        <w:t xml:space="preserve"> до существующих объектов электросетевого хозяйства сетевых организаций.</w:t>
      </w:r>
    </w:p>
    <w:p w:rsidR="00BE0D9C" w:rsidRPr="00B945C0" w:rsidRDefault="00BE0D9C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>Положения, о размере платы за технологическое присоединение, указанные в пункте 2.1, не могут быть применены в следующих случаях:</w:t>
      </w:r>
    </w:p>
    <w:p w:rsidR="00BE0D9C" w:rsidRPr="00B945C0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BE0D9C" w:rsidRPr="00B945C0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6341BC" w:rsidRPr="007F058B" w:rsidRDefault="006341BC" w:rsidP="0069294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945C0">
        <w:rPr>
          <w:sz w:val="22"/>
          <w:szCs w:val="22"/>
        </w:rPr>
        <w:t xml:space="preserve">Приказ Управления по регулированию тарифов и энергосбережению Пензенской области от </w:t>
      </w:r>
      <w:r w:rsidR="00BE0D52">
        <w:rPr>
          <w:sz w:val="22"/>
          <w:szCs w:val="22"/>
        </w:rPr>
        <w:t>3</w:t>
      </w:r>
      <w:r w:rsidR="00B945C0" w:rsidRPr="00B945C0">
        <w:rPr>
          <w:sz w:val="22"/>
          <w:szCs w:val="22"/>
        </w:rPr>
        <w:t>1</w:t>
      </w:r>
      <w:r w:rsidRPr="00B945C0">
        <w:rPr>
          <w:sz w:val="22"/>
          <w:szCs w:val="22"/>
        </w:rPr>
        <w:t>.12.201</w:t>
      </w:r>
      <w:r w:rsidR="00B945C0" w:rsidRPr="00B945C0">
        <w:rPr>
          <w:sz w:val="22"/>
          <w:szCs w:val="22"/>
        </w:rPr>
        <w:t>5</w:t>
      </w:r>
      <w:r w:rsidR="00BE0D9C" w:rsidRPr="00B945C0">
        <w:rPr>
          <w:sz w:val="22"/>
          <w:szCs w:val="22"/>
        </w:rPr>
        <w:t xml:space="preserve"> г.</w:t>
      </w:r>
      <w:r w:rsidRPr="00B945C0">
        <w:rPr>
          <w:sz w:val="22"/>
          <w:szCs w:val="22"/>
        </w:rPr>
        <w:t xml:space="preserve"> </w:t>
      </w:r>
      <w:r w:rsidR="00BE0D9C" w:rsidRPr="00B945C0">
        <w:rPr>
          <w:sz w:val="22"/>
          <w:szCs w:val="22"/>
        </w:rPr>
        <w:t>№</w:t>
      </w:r>
      <w:r w:rsidRPr="00B945C0">
        <w:rPr>
          <w:sz w:val="22"/>
          <w:szCs w:val="22"/>
        </w:rPr>
        <w:t xml:space="preserve"> 1</w:t>
      </w:r>
      <w:r w:rsidR="00B945C0" w:rsidRPr="00B945C0">
        <w:rPr>
          <w:sz w:val="22"/>
          <w:szCs w:val="22"/>
        </w:rPr>
        <w:t>89</w:t>
      </w:r>
      <w:r w:rsidRPr="00B945C0">
        <w:rPr>
          <w:sz w:val="22"/>
          <w:szCs w:val="22"/>
        </w:rPr>
        <w:t xml:space="preserve"> «</w:t>
      </w:r>
      <w:r w:rsidR="00B945C0" w:rsidRPr="00B945C0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Pr="00B945C0">
        <w:rPr>
          <w:sz w:val="22"/>
          <w:szCs w:val="22"/>
        </w:rPr>
        <w:t xml:space="preserve">» опубликован </w:t>
      </w:r>
      <w:r w:rsidR="002052DB" w:rsidRPr="00B945C0">
        <w:rPr>
          <w:sz w:val="22"/>
          <w:szCs w:val="22"/>
        </w:rPr>
        <w:t xml:space="preserve">на официальном сайте </w:t>
      </w:r>
      <w:r w:rsidR="002052DB" w:rsidRPr="00B945C0">
        <w:rPr>
          <w:bCs/>
          <w:sz w:val="22"/>
          <w:szCs w:val="22"/>
        </w:rPr>
        <w:t>Управления по регулированию тарифов и энергосбережению Пензенской области в</w:t>
      </w:r>
      <w:proofErr w:type="gramEnd"/>
      <w:r w:rsidR="002052DB" w:rsidRPr="00B945C0">
        <w:rPr>
          <w:bCs/>
          <w:sz w:val="22"/>
          <w:szCs w:val="22"/>
        </w:rPr>
        <w:t xml:space="preserve"> информационно-телекоммуникационной сети «Интернет»</w:t>
      </w:r>
      <w:r w:rsidR="003242FF">
        <w:rPr>
          <w:bCs/>
          <w:sz w:val="22"/>
          <w:szCs w:val="22"/>
        </w:rPr>
        <w:t>.</w:t>
      </w:r>
    </w:p>
    <w:p w:rsidR="00B03AE2" w:rsidRDefault="00B03AE2" w:rsidP="00B4094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2052DB" w:rsidRPr="007F058B" w:rsidRDefault="002052DB" w:rsidP="00B4094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97D54" w:rsidRPr="007F058B" w:rsidRDefault="00497D54" w:rsidP="00062E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F058B">
        <w:rPr>
          <w:b/>
          <w:bCs/>
          <w:sz w:val="22"/>
          <w:szCs w:val="22"/>
        </w:rPr>
        <w:t xml:space="preserve">3. </w:t>
      </w:r>
      <w:r w:rsidRPr="007F058B">
        <w:rPr>
          <w:b/>
          <w:sz w:val="22"/>
          <w:szCs w:val="22"/>
        </w:rPr>
        <w:t>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574C5E" w:rsidRPr="007F058B" w:rsidRDefault="00574C5E" w:rsidP="00574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944" w:rsidRPr="004572C7" w:rsidRDefault="00B40944" w:rsidP="004572C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572C7">
        <w:rPr>
          <w:sz w:val="22"/>
          <w:szCs w:val="22"/>
        </w:rPr>
        <w:t xml:space="preserve">С </w:t>
      </w:r>
      <w:r w:rsidR="00966226" w:rsidRPr="004572C7">
        <w:rPr>
          <w:sz w:val="22"/>
          <w:szCs w:val="22"/>
        </w:rPr>
        <w:t>1</w:t>
      </w:r>
      <w:r w:rsidRPr="004572C7">
        <w:rPr>
          <w:sz w:val="22"/>
          <w:szCs w:val="22"/>
        </w:rPr>
        <w:t xml:space="preserve"> </w:t>
      </w:r>
      <w:r w:rsidR="00966226" w:rsidRPr="004572C7">
        <w:rPr>
          <w:sz w:val="22"/>
          <w:szCs w:val="22"/>
        </w:rPr>
        <w:t>января</w:t>
      </w:r>
      <w:r w:rsidRPr="004572C7">
        <w:rPr>
          <w:sz w:val="22"/>
          <w:szCs w:val="22"/>
        </w:rPr>
        <w:t xml:space="preserve"> 201</w:t>
      </w:r>
      <w:r w:rsidR="004572C7" w:rsidRPr="004572C7">
        <w:rPr>
          <w:sz w:val="22"/>
          <w:szCs w:val="22"/>
        </w:rPr>
        <w:t>6</w:t>
      </w:r>
      <w:r w:rsidRPr="004572C7">
        <w:rPr>
          <w:sz w:val="22"/>
          <w:szCs w:val="22"/>
        </w:rPr>
        <w:t xml:space="preserve"> г. по 31 декабря 201</w:t>
      </w:r>
      <w:r w:rsidR="004572C7" w:rsidRPr="004572C7">
        <w:rPr>
          <w:sz w:val="22"/>
          <w:szCs w:val="22"/>
        </w:rPr>
        <w:t>6</w:t>
      </w:r>
      <w:r w:rsidRPr="004572C7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4572C7" w:rsidRPr="004572C7">
        <w:rPr>
          <w:sz w:val="22"/>
          <w:szCs w:val="22"/>
        </w:rPr>
        <w:t>31</w:t>
      </w:r>
      <w:r w:rsidRPr="004572C7">
        <w:rPr>
          <w:sz w:val="22"/>
          <w:szCs w:val="22"/>
        </w:rPr>
        <w:t xml:space="preserve"> </w:t>
      </w:r>
      <w:r w:rsidR="000D7D3E" w:rsidRPr="004572C7">
        <w:rPr>
          <w:sz w:val="22"/>
          <w:szCs w:val="22"/>
        </w:rPr>
        <w:t>декабря</w:t>
      </w:r>
      <w:r w:rsidRPr="004572C7">
        <w:rPr>
          <w:sz w:val="22"/>
          <w:szCs w:val="22"/>
        </w:rPr>
        <w:t xml:space="preserve"> 201</w:t>
      </w:r>
      <w:r w:rsidR="00C60137">
        <w:rPr>
          <w:sz w:val="22"/>
          <w:szCs w:val="22"/>
        </w:rPr>
        <w:t>5</w:t>
      </w:r>
      <w:r w:rsidRPr="004572C7">
        <w:rPr>
          <w:sz w:val="22"/>
          <w:szCs w:val="22"/>
        </w:rPr>
        <w:t xml:space="preserve"> г. </w:t>
      </w:r>
      <w:r w:rsidR="00F050A5" w:rsidRPr="004572C7">
        <w:rPr>
          <w:sz w:val="22"/>
          <w:szCs w:val="22"/>
        </w:rPr>
        <w:t>№</w:t>
      </w:r>
      <w:r w:rsidRPr="004572C7">
        <w:rPr>
          <w:sz w:val="22"/>
          <w:szCs w:val="22"/>
        </w:rPr>
        <w:t xml:space="preserve"> </w:t>
      </w:r>
      <w:r w:rsidR="000D7D3E" w:rsidRPr="004572C7">
        <w:rPr>
          <w:sz w:val="22"/>
          <w:szCs w:val="22"/>
        </w:rPr>
        <w:t>1</w:t>
      </w:r>
      <w:r w:rsidR="004572C7" w:rsidRPr="004572C7">
        <w:rPr>
          <w:sz w:val="22"/>
          <w:szCs w:val="22"/>
        </w:rPr>
        <w:t>91</w:t>
      </w:r>
      <w:r w:rsidRPr="004572C7">
        <w:rPr>
          <w:sz w:val="22"/>
          <w:szCs w:val="22"/>
        </w:rPr>
        <w:t xml:space="preserve"> </w:t>
      </w:r>
      <w:r w:rsidR="00102566" w:rsidRPr="004572C7">
        <w:rPr>
          <w:sz w:val="22"/>
          <w:szCs w:val="22"/>
        </w:rPr>
        <w:t>«</w:t>
      </w:r>
      <w:r w:rsidR="004572C7" w:rsidRPr="004572C7">
        <w:rPr>
          <w:sz w:val="22"/>
          <w:szCs w:val="22"/>
        </w:rPr>
        <w:t>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ЗАО «</w:t>
      </w:r>
      <w:proofErr w:type="gramStart"/>
      <w:r w:rsidR="004572C7" w:rsidRPr="004572C7">
        <w:rPr>
          <w:sz w:val="22"/>
          <w:szCs w:val="22"/>
        </w:rPr>
        <w:t>Пензенская</w:t>
      </w:r>
      <w:proofErr w:type="gramEnd"/>
      <w:r w:rsidR="004572C7" w:rsidRPr="004572C7">
        <w:rPr>
          <w:sz w:val="22"/>
          <w:szCs w:val="22"/>
        </w:rPr>
        <w:t xml:space="preserve"> горэлектросеть»</w:t>
      </w:r>
      <w:r w:rsidR="00574C5E" w:rsidRPr="004572C7">
        <w:rPr>
          <w:sz w:val="22"/>
          <w:szCs w:val="22"/>
        </w:rPr>
        <w:t>»</w:t>
      </w:r>
      <w:r w:rsidRPr="004572C7">
        <w:rPr>
          <w:sz w:val="22"/>
          <w:szCs w:val="22"/>
        </w:rPr>
        <w:t>:</w:t>
      </w:r>
    </w:p>
    <w:p w:rsidR="00B40944" w:rsidRPr="007F058B" w:rsidRDefault="00B40944" w:rsidP="00B409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23A19" w:rsidRPr="007F058B" w:rsidRDefault="00523A19" w:rsidP="00CD530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>Стандартизированн</w:t>
      </w:r>
      <w:r w:rsidR="00574C5E" w:rsidRPr="007F058B">
        <w:rPr>
          <w:b/>
          <w:sz w:val="22"/>
          <w:szCs w:val="22"/>
        </w:rPr>
        <w:t xml:space="preserve">ая </w:t>
      </w:r>
      <w:r w:rsidRPr="007F058B">
        <w:rPr>
          <w:b/>
          <w:sz w:val="22"/>
          <w:szCs w:val="22"/>
        </w:rPr>
        <w:t>тарифн</w:t>
      </w:r>
      <w:r w:rsidR="00574C5E" w:rsidRPr="007F058B">
        <w:rPr>
          <w:b/>
          <w:sz w:val="22"/>
          <w:szCs w:val="22"/>
        </w:rPr>
        <w:t>ая</w:t>
      </w:r>
      <w:r w:rsidRPr="007F058B">
        <w:rPr>
          <w:b/>
          <w:sz w:val="22"/>
          <w:szCs w:val="22"/>
        </w:rPr>
        <w:t xml:space="preserve"> ставк</w:t>
      </w:r>
      <w:r w:rsidR="00574C5E" w:rsidRPr="007F058B">
        <w:rPr>
          <w:b/>
          <w:sz w:val="22"/>
          <w:szCs w:val="22"/>
        </w:rPr>
        <w:t>а С</w:t>
      </w:r>
      <w:proofErr w:type="gramStart"/>
      <w:r w:rsidR="00574C5E" w:rsidRPr="007F058B">
        <w:rPr>
          <w:b/>
          <w:sz w:val="22"/>
          <w:szCs w:val="22"/>
        </w:rPr>
        <w:t>1</w:t>
      </w:r>
      <w:proofErr w:type="gramEnd"/>
      <w:r w:rsidR="00574C5E" w:rsidRPr="007F058B">
        <w:rPr>
          <w:b/>
          <w:sz w:val="22"/>
          <w:szCs w:val="22"/>
        </w:rPr>
        <w:t xml:space="preserve"> на покрытие расходов на </w:t>
      </w:r>
      <w:r w:rsidRPr="007F058B">
        <w:rPr>
          <w:b/>
          <w:sz w:val="22"/>
          <w:szCs w:val="22"/>
        </w:rPr>
        <w:t>технологическое присоединение энергопринимающих устройств потребителей электрической энергии</w:t>
      </w:r>
      <w:r w:rsidR="00574C5E" w:rsidRPr="007F058B">
        <w:rPr>
          <w:b/>
          <w:sz w:val="22"/>
          <w:szCs w:val="22"/>
        </w:rPr>
        <w:t xml:space="preserve">, объектов электросетевого хозяйства, принадлежащих сетевым организациям и иным лицам </w:t>
      </w:r>
      <w:r w:rsidRPr="007F058B">
        <w:rPr>
          <w:b/>
          <w:sz w:val="22"/>
          <w:szCs w:val="22"/>
        </w:rPr>
        <w:t xml:space="preserve"> </w:t>
      </w:r>
      <w:r w:rsidR="00574C5E" w:rsidRPr="007F058B">
        <w:rPr>
          <w:b/>
          <w:sz w:val="22"/>
          <w:szCs w:val="22"/>
        </w:rPr>
        <w:t>к</w:t>
      </w:r>
      <w:r w:rsidRPr="007F058B">
        <w:rPr>
          <w:b/>
          <w:sz w:val="22"/>
          <w:szCs w:val="22"/>
        </w:rPr>
        <w:t xml:space="preserve"> электрическим сетям ЗАО «Пензенская горэлектросеть» на 201</w:t>
      </w:r>
      <w:r w:rsidR="004572C7">
        <w:rPr>
          <w:b/>
          <w:sz w:val="22"/>
          <w:szCs w:val="22"/>
        </w:rPr>
        <w:t>6</w:t>
      </w:r>
      <w:r w:rsidRPr="007F058B">
        <w:rPr>
          <w:b/>
          <w:sz w:val="22"/>
          <w:szCs w:val="22"/>
        </w:rPr>
        <w:t xml:space="preserve"> год</w:t>
      </w:r>
    </w:p>
    <w:p w:rsidR="00574C5E" w:rsidRPr="00234E25" w:rsidRDefault="002B5739" w:rsidP="002B5739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(без НДС)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0"/>
        <w:gridCol w:w="1114"/>
        <w:gridCol w:w="1554"/>
        <w:gridCol w:w="1642"/>
      </w:tblGrid>
      <w:tr w:rsidR="002052DB" w:rsidRPr="007F058B" w:rsidTr="002052DB">
        <w:tc>
          <w:tcPr>
            <w:tcW w:w="2479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71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Обозначение</w:t>
            </w:r>
          </w:p>
        </w:tc>
        <w:tc>
          <w:tcPr>
            <w:tcW w:w="530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39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781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2052DB" w:rsidRPr="007F058B" w:rsidTr="002052DB">
        <w:tc>
          <w:tcPr>
            <w:tcW w:w="2479" w:type="pct"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Стандартизированная тарифная ставка 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 xml:space="preserve">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</w:t>
            </w:r>
            <w:r w:rsidR="00CE1AEC" w:rsidRPr="007F058B">
              <w:rPr>
                <w:sz w:val="18"/>
                <w:szCs w:val="18"/>
              </w:rPr>
              <w:t>*</w:t>
            </w:r>
          </w:p>
        </w:tc>
        <w:tc>
          <w:tcPr>
            <w:tcW w:w="471" w:type="pct"/>
            <w:vMerge w:val="restart"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30" w:type="pct"/>
            <w:vMerge w:val="restart"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руб./кВт</w:t>
            </w:r>
          </w:p>
        </w:tc>
        <w:tc>
          <w:tcPr>
            <w:tcW w:w="739" w:type="pct"/>
            <w:vMerge w:val="restart"/>
            <w:vAlign w:val="center"/>
          </w:tcPr>
          <w:p w:rsidR="00075C30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781" w:type="pct"/>
            <w:vMerge w:val="restart"/>
            <w:vAlign w:val="center"/>
          </w:tcPr>
          <w:p w:rsidR="00075C30" w:rsidRPr="007F058B" w:rsidRDefault="004572C7" w:rsidP="002052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</w:tr>
      <w:tr w:rsidR="002052DB" w:rsidRPr="007F058B" w:rsidTr="002052DB">
        <w:tc>
          <w:tcPr>
            <w:tcW w:w="2479" w:type="pct"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в т.ч. в разбивке по следующим ставкам</w:t>
            </w:r>
          </w:p>
        </w:tc>
        <w:tc>
          <w:tcPr>
            <w:tcW w:w="471" w:type="pct"/>
            <w:vMerge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:rsidR="00075C30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72C7" w:rsidRPr="007F058B" w:rsidTr="002052DB">
        <w:tc>
          <w:tcPr>
            <w:tcW w:w="247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471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.1</w:t>
            </w:r>
          </w:p>
        </w:tc>
        <w:tc>
          <w:tcPr>
            <w:tcW w:w="530" w:type="pct"/>
            <w:vMerge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81" w:type="pct"/>
            <w:vAlign w:val="center"/>
          </w:tcPr>
          <w:p w:rsidR="004572C7" w:rsidRPr="007F058B" w:rsidRDefault="004572C7" w:rsidP="00B61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4572C7" w:rsidRPr="007F058B" w:rsidTr="002052DB">
        <w:tc>
          <w:tcPr>
            <w:tcW w:w="247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Проверка сетевой организацией выполнения Заявителем ТУ</w:t>
            </w:r>
          </w:p>
        </w:tc>
        <w:tc>
          <w:tcPr>
            <w:tcW w:w="471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.2</w:t>
            </w:r>
          </w:p>
        </w:tc>
        <w:tc>
          <w:tcPr>
            <w:tcW w:w="530" w:type="pct"/>
            <w:vMerge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781" w:type="pct"/>
            <w:vAlign w:val="center"/>
          </w:tcPr>
          <w:p w:rsidR="004572C7" w:rsidRPr="007F058B" w:rsidRDefault="004572C7" w:rsidP="00B61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</w:tr>
      <w:tr w:rsidR="004572C7" w:rsidRPr="007F058B" w:rsidTr="002052DB">
        <w:tc>
          <w:tcPr>
            <w:tcW w:w="247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устройств**</w:t>
            </w:r>
          </w:p>
        </w:tc>
        <w:tc>
          <w:tcPr>
            <w:tcW w:w="471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.3</w:t>
            </w:r>
          </w:p>
        </w:tc>
        <w:tc>
          <w:tcPr>
            <w:tcW w:w="530" w:type="pct"/>
            <w:vMerge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0</w:t>
            </w:r>
          </w:p>
        </w:tc>
        <w:tc>
          <w:tcPr>
            <w:tcW w:w="781" w:type="pct"/>
            <w:vAlign w:val="center"/>
          </w:tcPr>
          <w:p w:rsidR="004572C7" w:rsidRPr="007F058B" w:rsidRDefault="004572C7" w:rsidP="00B61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0</w:t>
            </w:r>
          </w:p>
        </w:tc>
      </w:tr>
      <w:tr w:rsidR="004572C7" w:rsidRPr="007F058B" w:rsidTr="002052DB">
        <w:tc>
          <w:tcPr>
            <w:tcW w:w="247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71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.4</w:t>
            </w:r>
          </w:p>
        </w:tc>
        <w:tc>
          <w:tcPr>
            <w:tcW w:w="530" w:type="pct"/>
            <w:vMerge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4572C7" w:rsidRPr="007F058B" w:rsidRDefault="004572C7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81" w:type="pct"/>
            <w:vAlign w:val="center"/>
          </w:tcPr>
          <w:p w:rsidR="004572C7" w:rsidRPr="007F058B" w:rsidRDefault="004572C7" w:rsidP="00B61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</w:tr>
    </w:tbl>
    <w:p w:rsidR="000402CC" w:rsidRDefault="000402CC" w:rsidP="004572C7">
      <w:pPr>
        <w:autoSpaceDE w:val="0"/>
        <w:autoSpaceDN w:val="0"/>
        <w:adjustRightInd w:val="0"/>
        <w:ind w:firstLine="567"/>
        <w:rPr>
          <w:sz w:val="16"/>
        </w:rPr>
      </w:pP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* - Применяется также для технологического присоединения передвижных энергопринимающих устройств</w:t>
      </w:r>
      <w:r>
        <w:rPr>
          <w:sz w:val="16"/>
        </w:rPr>
        <w:t xml:space="preserve"> </w:t>
      </w:r>
      <w:r w:rsidRPr="004572C7">
        <w:rPr>
          <w:sz w:val="16"/>
        </w:rPr>
        <w:t>Заявителей с максимальной мощностью до 150 к</w:t>
      </w:r>
      <w:proofErr w:type="gramStart"/>
      <w:r w:rsidRPr="004572C7">
        <w:rPr>
          <w:sz w:val="16"/>
        </w:rPr>
        <w:t>Вт вкл</w:t>
      </w:r>
      <w:proofErr w:type="gramEnd"/>
      <w:r w:rsidRPr="004572C7">
        <w:rPr>
          <w:sz w:val="16"/>
        </w:rPr>
        <w:t>ючительно (с учетом ранее присоединенной в данной точке</w:t>
      </w:r>
      <w:r>
        <w:rPr>
          <w:sz w:val="16"/>
        </w:rPr>
        <w:t xml:space="preserve"> </w:t>
      </w:r>
      <w:r w:rsidRPr="004572C7">
        <w:rPr>
          <w:sz w:val="16"/>
        </w:rPr>
        <w:t>присоединения мощности)</w:t>
      </w: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** Стандартизированная тарифная ставка С</w:t>
      </w:r>
      <w:proofErr w:type="gramStart"/>
      <w:r w:rsidRPr="004572C7">
        <w:rPr>
          <w:sz w:val="16"/>
        </w:rPr>
        <w:t>1</w:t>
      </w:r>
      <w:proofErr w:type="gramEnd"/>
      <w:r w:rsidRPr="004572C7">
        <w:rPr>
          <w:sz w:val="16"/>
        </w:rPr>
        <w:t>.3 не применяется в отношении технологического присоединения</w:t>
      </w:r>
      <w:r>
        <w:rPr>
          <w:sz w:val="16"/>
        </w:rPr>
        <w:t xml:space="preserve"> </w:t>
      </w:r>
      <w:r w:rsidRPr="004572C7">
        <w:rPr>
          <w:sz w:val="16"/>
        </w:rPr>
        <w:t>следующих заявителей:</w:t>
      </w: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-заявителей - юридических лиц или индивидуальных предпринимателей в целях технологического</w:t>
      </w:r>
      <w:r>
        <w:rPr>
          <w:sz w:val="16"/>
        </w:rPr>
        <w:t xml:space="preserve"> </w:t>
      </w:r>
      <w:r w:rsidRPr="004572C7">
        <w:rPr>
          <w:sz w:val="16"/>
        </w:rPr>
        <w:t xml:space="preserve">присоединения по одному источнику электроснабжения энергопринимающих </w:t>
      </w:r>
      <w:proofErr w:type="gramStart"/>
      <w:r w:rsidRPr="004572C7">
        <w:rPr>
          <w:sz w:val="16"/>
        </w:rPr>
        <w:t>устройств</w:t>
      </w:r>
      <w:proofErr w:type="gramEnd"/>
      <w:r w:rsidRPr="004572C7">
        <w:rPr>
          <w:sz w:val="16"/>
        </w:rPr>
        <w:t xml:space="preserve"> максимальная мощность</w:t>
      </w:r>
      <w:r>
        <w:rPr>
          <w:sz w:val="16"/>
        </w:rPr>
        <w:t xml:space="preserve"> </w:t>
      </w:r>
      <w:r w:rsidRPr="004572C7">
        <w:rPr>
          <w:sz w:val="16"/>
        </w:rPr>
        <w:t>которых составляет до 150 кВт включительно (с учетом ранее присоединенной в данной точке присоединения</w:t>
      </w:r>
      <w:r>
        <w:rPr>
          <w:sz w:val="16"/>
        </w:rPr>
        <w:t xml:space="preserve"> </w:t>
      </w:r>
      <w:r w:rsidRPr="004572C7">
        <w:rPr>
          <w:sz w:val="16"/>
        </w:rPr>
        <w:t>энергопринимающих устройств);</w:t>
      </w: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- заявителей в целях временного технологического присоединения, предусмотренного разделом VII Правил</w:t>
      </w:r>
      <w:r>
        <w:rPr>
          <w:sz w:val="16"/>
        </w:rPr>
        <w:t xml:space="preserve"> </w:t>
      </w:r>
      <w:r w:rsidRPr="004572C7">
        <w:rPr>
          <w:sz w:val="16"/>
        </w:rPr>
        <w:t>технологического присоединения;</w:t>
      </w:r>
    </w:p>
    <w:p w:rsidR="002052DB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proofErr w:type="gramStart"/>
      <w:r w:rsidRPr="004572C7">
        <w:rPr>
          <w:sz w:val="16"/>
        </w:rPr>
        <w:t>-заявителей - физических лиц в целях технологического присоединения энергопринимающих устройств,</w:t>
      </w:r>
      <w:r>
        <w:rPr>
          <w:sz w:val="16"/>
        </w:rPr>
        <w:t xml:space="preserve"> </w:t>
      </w:r>
      <w:r w:rsidRPr="004572C7">
        <w:rPr>
          <w:sz w:val="16"/>
        </w:rPr>
        <w:t>максимальная мощность которых составляет до 15 кВт включительно (с учетом ранее присоединенных в данной точке</w:t>
      </w:r>
      <w:r>
        <w:rPr>
          <w:sz w:val="16"/>
        </w:rPr>
        <w:t xml:space="preserve"> </w:t>
      </w:r>
      <w:r w:rsidRPr="004572C7">
        <w:rPr>
          <w:sz w:val="16"/>
        </w:rPr>
        <w:t>присоединения энергопринимающих устройств), которые используются для бытовых и иных нужд, не связанных с</w:t>
      </w:r>
      <w:r>
        <w:rPr>
          <w:sz w:val="16"/>
        </w:rPr>
        <w:t xml:space="preserve"> </w:t>
      </w:r>
      <w:r w:rsidRPr="004572C7">
        <w:rPr>
          <w:sz w:val="16"/>
        </w:rPr>
        <w:t>осуществлением предпринимательской деятельности, и электроснабжение которых предусматриваются по одному</w:t>
      </w:r>
      <w:r>
        <w:rPr>
          <w:sz w:val="16"/>
        </w:rPr>
        <w:t xml:space="preserve"> </w:t>
      </w:r>
      <w:r w:rsidRPr="004572C7">
        <w:rPr>
          <w:sz w:val="16"/>
        </w:rPr>
        <w:t>источнику</w:t>
      </w:r>
      <w:r>
        <w:rPr>
          <w:sz w:val="16"/>
        </w:rPr>
        <w:t>.</w:t>
      </w:r>
      <w:proofErr w:type="gramEnd"/>
    </w:p>
    <w:p w:rsidR="004572C7" w:rsidRDefault="004572C7" w:rsidP="004572C7">
      <w:pPr>
        <w:autoSpaceDE w:val="0"/>
        <w:autoSpaceDN w:val="0"/>
        <w:adjustRightInd w:val="0"/>
        <w:ind w:firstLine="567"/>
        <w:rPr>
          <w:b/>
          <w:sz w:val="22"/>
        </w:rPr>
      </w:pPr>
    </w:p>
    <w:p w:rsidR="00B03AE2" w:rsidRDefault="00B03AE2" w:rsidP="004572C7">
      <w:pPr>
        <w:autoSpaceDE w:val="0"/>
        <w:autoSpaceDN w:val="0"/>
        <w:adjustRightInd w:val="0"/>
        <w:ind w:firstLine="567"/>
        <w:rPr>
          <w:b/>
          <w:sz w:val="22"/>
        </w:rPr>
      </w:pP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Стандартизированные тарифные ставки (С</w:t>
      </w:r>
      <w:proofErr w:type="gramStart"/>
      <w:r w:rsidRPr="004572C7">
        <w:rPr>
          <w:b/>
          <w:sz w:val="22"/>
          <w:szCs w:val="22"/>
        </w:rPr>
        <w:t>2</w:t>
      </w:r>
      <w:proofErr w:type="gramEnd"/>
      <w:r w:rsidRPr="004572C7">
        <w:rPr>
          <w:b/>
          <w:sz w:val="22"/>
          <w:szCs w:val="22"/>
        </w:rPr>
        <w:t>, С3, С4) на технологическое присоединение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энергопринимающих устройств потребителей электрической энергии, объектов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 xml:space="preserve">электросетевого хозяйства, </w:t>
      </w:r>
      <w:proofErr w:type="gramStart"/>
      <w:r w:rsidRPr="004572C7">
        <w:rPr>
          <w:b/>
          <w:sz w:val="22"/>
          <w:szCs w:val="22"/>
        </w:rPr>
        <w:t>принадлежащих</w:t>
      </w:r>
      <w:proofErr w:type="gramEnd"/>
      <w:r w:rsidRPr="004572C7">
        <w:rPr>
          <w:b/>
          <w:sz w:val="22"/>
          <w:szCs w:val="22"/>
        </w:rPr>
        <w:t xml:space="preserve"> сетевым организациям и иным лицам к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электрическим сетям ЗАО «</w:t>
      </w:r>
      <w:proofErr w:type="gramStart"/>
      <w:r w:rsidRPr="004572C7">
        <w:rPr>
          <w:b/>
          <w:sz w:val="22"/>
          <w:szCs w:val="22"/>
        </w:rPr>
        <w:t>Пензенская</w:t>
      </w:r>
      <w:proofErr w:type="gramEnd"/>
      <w:r w:rsidRPr="004572C7">
        <w:rPr>
          <w:b/>
          <w:sz w:val="22"/>
          <w:szCs w:val="22"/>
        </w:rPr>
        <w:t xml:space="preserve"> горэлектросеть», включающие расходы сетевой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организации на строительство объектов электросетевого хозяйства от существующих объектов</w:t>
      </w:r>
    </w:p>
    <w:p w:rsidR="004F07B1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электросетевого хозяйства до присоединяе</w:t>
      </w:r>
      <w:r>
        <w:rPr>
          <w:b/>
          <w:sz w:val="22"/>
          <w:szCs w:val="22"/>
        </w:rPr>
        <w:t xml:space="preserve">мых энергопринимающих устройств </w:t>
      </w:r>
      <w:r w:rsidR="004F07B1" w:rsidRPr="002052DB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6</w:t>
      </w:r>
      <w:r w:rsidR="004F07B1" w:rsidRPr="002052DB">
        <w:rPr>
          <w:b/>
          <w:sz w:val="22"/>
          <w:szCs w:val="22"/>
        </w:rPr>
        <w:t xml:space="preserve"> год</w:t>
      </w:r>
      <w:r w:rsidR="004B3BA7" w:rsidRPr="002052DB">
        <w:rPr>
          <w:b/>
          <w:sz w:val="22"/>
          <w:szCs w:val="22"/>
        </w:rPr>
        <w:t>*</w:t>
      </w:r>
    </w:p>
    <w:p w:rsidR="002B5739" w:rsidRPr="002052DB" w:rsidRDefault="002B5739" w:rsidP="002B5739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>
        <w:rPr>
          <w:b/>
        </w:rPr>
        <w:t>(без НДС)</w:t>
      </w:r>
    </w:p>
    <w:tbl>
      <w:tblPr>
        <w:tblW w:w="10349" w:type="dxa"/>
        <w:tblInd w:w="250" w:type="dxa"/>
        <w:tblLayout w:type="fixed"/>
        <w:tblLook w:val="04A0"/>
      </w:tblPr>
      <w:tblGrid>
        <w:gridCol w:w="591"/>
        <w:gridCol w:w="2953"/>
        <w:gridCol w:w="1258"/>
        <w:gridCol w:w="726"/>
        <w:gridCol w:w="851"/>
        <w:gridCol w:w="2410"/>
        <w:gridCol w:w="1560"/>
      </w:tblGrid>
      <w:tr w:rsidR="003E052F" w:rsidTr="00C60137">
        <w:trPr>
          <w:trHeight w:val="2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369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3369B">
              <w:rPr>
                <w:sz w:val="16"/>
                <w:szCs w:val="16"/>
              </w:rPr>
              <w:t>/</w:t>
            </w:r>
            <w:proofErr w:type="spellStart"/>
            <w:r w:rsidRPr="0083369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Уровень напряжения в точке присоединения  мощности Заявителя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стандартизированных тарифных ставок для Заявителей, за исключением Заявителей, плата для которых устанавливается по п.18 Методических указаний и Заявителей с присоединяемой максимальной мощностью до 150 кВт, включительно (с учетом ранее присоединенной в данной точке присоединения)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стандартизированных тарифных ставок для Заявителей и с присоединяемой мощностью до 150 кВт, включительно (с учетом ранее присоединенной в данной точке присоединения)</w:t>
            </w:r>
          </w:p>
        </w:tc>
      </w:tr>
      <w:tr w:rsidR="003E052F" w:rsidTr="00C60137">
        <w:trPr>
          <w:trHeight w:val="8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в расчете на 1 км линий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руб./км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175 495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87 747.5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187 747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93 873.5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197 377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98 688.5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1.4.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212 996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106 498</w:t>
            </w:r>
          </w:p>
        </w:tc>
      </w:tr>
      <w:tr w:rsidR="003E052F" w:rsidTr="00C60137">
        <w:trPr>
          <w:trHeight w:val="8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в расчете на 1 км линий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руб./км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148 617.5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152 714.5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157 719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161 971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191 676.5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410 589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205 294.5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B7EBA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226 514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513 668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256834.0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556 604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278302.0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603 845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301922.5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2х16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118 980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124 875.5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129 142.5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131 544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137 852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151 681.5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165 423.5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354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177 397.5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208 730.5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220 321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487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243 560.5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229 804.5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0D38ED" w:rsidRDefault="003E052F" w:rsidP="00C6408E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502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2F" w:rsidRPr="009C28E2" w:rsidRDefault="003E052F" w:rsidP="00C640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251 035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579 439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289719.5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611 476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305738.0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659 147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  <w:lang w:val="en-US"/>
              </w:rPr>
              <w:t>329573.5</w:t>
            </w:r>
          </w:p>
        </w:tc>
      </w:tr>
      <w:tr w:rsidR="003E052F" w:rsidTr="00C60137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745 140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  <w:lang w:val="en-US"/>
              </w:rPr>
              <w:t>372570.0</w:t>
            </w:r>
          </w:p>
        </w:tc>
      </w:tr>
      <w:tr w:rsidR="003E052F" w:rsidTr="00C60137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 xml:space="preserve">Стандартизированная тарифная ставка на покрытие расходов сетевой организации на строительство пунктов секционирования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руб./кВт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E052F" w:rsidTr="00C60137">
        <w:trPr>
          <w:trHeight w:val="10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>Стандартизированная тарифная ставка на покрытие расходов сетевой организации строительство комплексных трансформаторных подстанций (КТП), распределительных трансформаторных подстанций (РТП) до 35 кВ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63-10/0,5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688.5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552.5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160-10/0,5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357.5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250-10/0,5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400-10/0,5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182.0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135.0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122.0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0B7EBA">
              <w:rPr>
                <w:sz w:val="16"/>
                <w:szCs w:val="16"/>
              </w:rPr>
              <w:t xml:space="preserve">2-х </w:t>
            </w:r>
            <w:proofErr w:type="spellStart"/>
            <w:r w:rsidRPr="000B7EBA">
              <w:rPr>
                <w:sz w:val="16"/>
                <w:szCs w:val="16"/>
              </w:rPr>
              <w:t>трансф</w:t>
            </w:r>
            <w:proofErr w:type="spellEnd"/>
            <w:r w:rsidRPr="000B7EBA">
              <w:rPr>
                <w:sz w:val="16"/>
                <w:szCs w:val="16"/>
              </w:rPr>
              <w:t>. КТП 100 -10/0,5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1813.5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160 -10/0,5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1460.0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250-10/0,5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F9686A">
              <w:rPr>
                <w:sz w:val="16"/>
                <w:szCs w:val="16"/>
              </w:rPr>
              <w:t>2665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1332.5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400-10/0,5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942.0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630-10/0,5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1279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639.5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1000-10/0,5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499.0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1132.5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746.0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4.16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1452.5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4.17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947.5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4.18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2382.0</w:t>
            </w:r>
          </w:p>
        </w:tc>
      </w:tr>
      <w:tr w:rsidR="003E052F" w:rsidTr="00C60137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4.19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2F" w:rsidRPr="0083369B" w:rsidRDefault="003E052F" w:rsidP="00C640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2F" w:rsidRPr="0083369B" w:rsidRDefault="003E052F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1533.0</w:t>
            </w:r>
          </w:p>
        </w:tc>
      </w:tr>
    </w:tbl>
    <w:p w:rsidR="004F07B1" w:rsidRPr="004E083F" w:rsidRDefault="004F07B1" w:rsidP="004F07B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2FD6" w:rsidRPr="000D07FF" w:rsidRDefault="00B22FD6" w:rsidP="008F3DF4">
      <w:pPr>
        <w:ind w:firstLine="426"/>
        <w:rPr>
          <w:b/>
          <w:sz w:val="16"/>
          <w:szCs w:val="16"/>
        </w:rPr>
      </w:pPr>
      <w:r w:rsidRPr="000D07FF">
        <w:rPr>
          <w:sz w:val="16"/>
          <w:szCs w:val="16"/>
        </w:rPr>
        <w:t xml:space="preserve">* Стандартизированные ставки  установлены в ценах 2001 года. </w:t>
      </w:r>
    </w:p>
    <w:p w:rsidR="00B22FD6" w:rsidRPr="000D07FF" w:rsidRDefault="00B22FD6" w:rsidP="008F3DF4">
      <w:pPr>
        <w:ind w:firstLine="426"/>
        <w:jc w:val="both"/>
        <w:rPr>
          <w:bCs/>
          <w:color w:val="B2A1C7"/>
          <w:sz w:val="16"/>
          <w:szCs w:val="16"/>
        </w:rPr>
      </w:pPr>
      <w:r w:rsidRPr="000D07FF">
        <w:rPr>
          <w:bCs/>
          <w:sz w:val="16"/>
          <w:szCs w:val="16"/>
        </w:rPr>
        <w:t>Ставки применяется для определения размера платы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 к электрическим сетям ЗАО «</w:t>
      </w:r>
      <w:proofErr w:type="gramStart"/>
      <w:r w:rsidRPr="000D07FF">
        <w:rPr>
          <w:bCs/>
          <w:sz w:val="16"/>
          <w:szCs w:val="16"/>
        </w:rPr>
        <w:t>Пензенская</w:t>
      </w:r>
      <w:proofErr w:type="gramEnd"/>
      <w:r w:rsidRPr="000D07FF">
        <w:rPr>
          <w:bCs/>
          <w:sz w:val="16"/>
          <w:szCs w:val="16"/>
        </w:rPr>
        <w:t xml:space="preserve"> горэлектросеть" на уровне напряжения менее 35 кВ и максимальной мощности менее 8900 кВт.</w:t>
      </w:r>
    </w:p>
    <w:p w:rsidR="00B22FD6" w:rsidRPr="002052DB" w:rsidRDefault="00B22FD6" w:rsidP="004F07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E083F" w:rsidRPr="002052DB" w:rsidRDefault="004E083F" w:rsidP="004E083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052DB">
        <w:rPr>
          <w:sz w:val="22"/>
          <w:szCs w:val="22"/>
        </w:rPr>
        <w:t>С 1 января 201</w:t>
      </w:r>
      <w:r w:rsidR="002B5739">
        <w:rPr>
          <w:sz w:val="22"/>
          <w:szCs w:val="22"/>
        </w:rPr>
        <w:t>6</w:t>
      </w:r>
      <w:r w:rsidRPr="002052DB">
        <w:rPr>
          <w:sz w:val="22"/>
          <w:szCs w:val="22"/>
        </w:rPr>
        <w:t xml:space="preserve"> г. по 31 декабря 201</w:t>
      </w:r>
      <w:r w:rsidR="002B5739">
        <w:rPr>
          <w:sz w:val="22"/>
          <w:szCs w:val="22"/>
        </w:rPr>
        <w:t>6</w:t>
      </w:r>
      <w:r w:rsidRPr="002052DB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2B5739">
        <w:rPr>
          <w:sz w:val="22"/>
          <w:szCs w:val="22"/>
        </w:rPr>
        <w:t>31</w:t>
      </w:r>
      <w:r w:rsidRPr="002052DB">
        <w:rPr>
          <w:sz w:val="22"/>
          <w:szCs w:val="22"/>
        </w:rPr>
        <w:t xml:space="preserve"> декабря 201</w:t>
      </w:r>
      <w:r w:rsidR="002B5739">
        <w:rPr>
          <w:sz w:val="22"/>
          <w:szCs w:val="22"/>
        </w:rPr>
        <w:t>5</w:t>
      </w:r>
      <w:r w:rsidRPr="002052DB">
        <w:rPr>
          <w:sz w:val="22"/>
          <w:szCs w:val="22"/>
        </w:rPr>
        <w:t xml:space="preserve"> г. </w:t>
      </w:r>
      <w:r w:rsidR="00F050A5" w:rsidRPr="002052DB">
        <w:rPr>
          <w:sz w:val="22"/>
          <w:szCs w:val="22"/>
        </w:rPr>
        <w:t>№</w:t>
      </w:r>
      <w:r w:rsidRPr="002052DB">
        <w:rPr>
          <w:sz w:val="22"/>
          <w:szCs w:val="22"/>
        </w:rPr>
        <w:t xml:space="preserve"> 1</w:t>
      </w:r>
      <w:r w:rsidR="002B5739">
        <w:rPr>
          <w:sz w:val="22"/>
          <w:szCs w:val="22"/>
        </w:rPr>
        <w:t>91</w:t>
      </w:r>
      <w:r w:rsidRPr="002052DB">
        <w:rPr>
          <w:sz w:val="22"/>
          <w:szCs w:val="22"/>
        </w:rPr>
        <w:t xml:space="preserve">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ЗАО «Пензенская горэлектросеть» утверждены стандартизированные тарифные ставки</w:t>
      </w:r>
      <w:r w:rsidR="00F050A5" w:rsidRPr="002052DB">
        <w:rPr>
          <w:sz w:val="22"/>
          <w:szCs w:val="22"/>
        </w:rPr>
        <w:t xml:space="preserve"> за единицу максимальной мощности</w:t>
      </w:r>
      <w:r w:rsidRPr="002052DB">
        <w:rPr>
          <w:sz w:val="22"/>
          <w:szCs w:val="22"/>
        </w:rPr>
        <w:t xml:space="preserve"> для определения платы за технологическое</w:t>
      </w:r>
      <w:proofErr w:type="gramEnd"/>
      <w:r w:rsidRPr="002052DB">
        <w:rPr>
          <w:sz w:val="22"/>
          <w:szCs w:val="22"/>
        </w:rPr>
        <w:t xml:space="preserve"> присоединение энергопринимающих устройств потребителей к электрическим сетям ЗАО «</w:t>
      </w:r>
      <w:proofErr w:type="gramStart"/>
      <w:r w:rsidRPr="002052DB">
        <w:rPr>
          <w:sz w:val="22"/>
          <w:szCs w:val="22"/>
        </w:rPr>
        <w:t>Пензенская</w:t>
      </w:r>
      <w:proofErr w:type="gramEnd"/>
      <w:r w:rsidRPr="002052DB">
        <w:rPr>
          <w:sz w:val="22"/>
          <w:szCs w:val="22"/>
        </w:rPr>
        <w:t xml:space="preserve"> горэлектросеть»:</w:t>
      </w:r>
    </w:p>
    <w:p w:rsidR="004E083F" w:rsidRPr="002052DB" w:rsidRDefault="004E083F" w:rsidP="004F07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22FD6" w:rsidRPr="002052DB" w:rsidRDefault="004E083F" w:rsidP="008F3D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052DB">
        <w:rPr>
          <w:b/>
          <w:sz w:val="22"/>
          <w:szCs w:val="22"/>
        </w:rPr>
        <w:t xml:space="preserve">Ставки за единицу максимальной мощности </w:t>
      </w:r>
      <w:r w:rsidRPr="002052DB">
        <w:rPr>
          <w:b/>
          <w:bCs/>
          <w:sz w:val="22"/>
          <w:szCs w:val="22"/>
        </w:rPr>
        <w:t>(С1.1, С1.2, С1.3, С1.4, С2, С3, С4)</w:t>
      </w:r>
      <w:r w:rsidRPr="002052DB">
        <w:rPr>
          <w:b/>
          <w:sz w:val="22"/>
          <w:szCs w:val="22"/>
        </w:rPr>
        <w:t xml:space="preserve"> на технологическое присоединение энергопринимающих устройств потребителей </w:t>
      </w:r>
      <w:r w:rsidR="00F050A5" w:rsidRPr="002052DB">
        <w:rPr>
          <w:b/>
          <w:sz w:val="22"/>
          <w:szCs w:val="22"/>
        </w:rPr>
        <w:t>электрической энергии, объектов электросетевого хозяйства</w:t>
      </w:r>
      <w:r w:rsidR="00436D29" w:rsidRPr="002052DB">
        <w:rPr>
          <w:b/>
          <w:sz w:val="22"/>
          <w:szCs w:val="22"/>
        </w:rPr>
        <w:t xml:space="preserve">, </w:t>
      </w:r>
      <w:r w:rsidR="00F050A5" w:rsidRPr="002052DB">
        <w:rPr>
          <w:b/>
          <w:sz w:val="22"/>
          <w:szCs w:val="22"/>
        </w:rPr>
        <w:t>принадлежащих сетевым организациям и иным лицам к электрическим сетям ЗАО «Пензенская горэлектросеть</w:t>
      </w:r>
      <w:proofErr w:type="gramStart"/>
      <w:r w:rsidR="00F050A5" w:rsidRPr="002052DB">
        <w:rPr>
          <w:b/>
          <w:sz w:val="22"/>
          <w:szCs w:val="22"/>
        </w:rPr>
        <w:t>»</w:t>
      </w:r>
      <w:r w:rsidR="00436D29" w:rsidRPr="002052DB">
        <w:rPr>
          <w:b/>
          <w:sz w:val="22"/>
          <w:szCs w:val="22"/>
        </w:rPr>
        <w:t>н</w:t>
      </w:r>
      <w:proofErr w:type="gramEnd"/>
      <w:r w:rsidR="00436D29" w:rsidRPr="002052DB">
        <w:rPr>
          <w:b/>
          <w:sz w:val="22"/>
          <w:szCs w:val="22"/>
        </w:rPr>
        <w:t>а уровне не ниже 35 кВ и максимальной мощности не менее 8900 кВ</w:t>
      </w:r>
      <w:r w:rsidR="009F28A2">
        <w:rPr>
          <w:b/>
          <w:sz w:val="22"/>
          <w:szCs w:val="22"/>
        </w:rPr>
        <w:t>т</w:t>
      </w:r>
      <w:r w:rsidR="00436D29" w:rsidRPr="002052DB">
        <w:rPr>
          <w:b/>
          <w:sz w:val="22"/>
          <w:szCs w:val="22"/>
        </w:rPr>
        <w:t xml:space="preserve"> по третьей категории надежности (по одному источнику электроснабжения)</w:t>
      </w:r>
      <w:r w:rsidRPr="002052DB">
        <w:rPr>
          <w:b/>
          <w:sz w:val="22"/>
          <w:szCs w:val="22"/>
        </w:rPr>
        <w:t xml:space="preserve"> </w:t>
      </w:r>
      <w:r w:rsidR="00436D29" w:rsidRPr="002052DB">
        <w:rPr>
          <w:b/>
          <w:sz w:val="22"/>
          <w:szCs w:val="22"/>
        </w:rPr>
        <w:t xml:space="preserve">(с учетом ранее присоединенной в данной точке присоединения мощности) </w:t>
      </w:r>
      <w:r w:rsidRPr="002052DB">
        <w:rPr>
          <w:b/>
          <w:sz w:val="22"/>
          <w:szCs w:val="22"/>
        </w:rPr>
        <w:t>на 201</w:t>
      </w:r>
      <w:r w:rsidR="002B5739">
        <w:rPr>
          <w:b/>
          <w:sz w:val="22"/>
          <w:szCs w:val="22"/>
        </w:rPr>
        <w:t>6</w:t>
      </w:r>
      <w:r w:rsidRPr="002052DB">
        <w:rPr>
          <w:b/>
          <w:sz w:val="22"/>
          <w:szCs w:val="22"/>
        </w:rPr>
        <w:t xml:space="preserve"> год</w:t>
      </w:r>
    </w:p>
    <w:p w:rsidR="00F050A5" w:rsidRPr="00F050A5" w:rsidRDefault="002B5739" w:rsidP="002B5739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(без НДС)</w:t>
      </w:r>
    </w:p>
    <w:tbl>
      <w:tblPr>
        <w:tblW w:w="10495" w:type="dxa"/>
        <w:tblInd w:w="103" w:type="dxa"/>
        <w:tblLayout w:type="fixed"/>
        <w:tblLook w:val="04A0"/>
      </w:tblPr>
      <w:tblGrid>
        <w:gridCol w:w="714"/>
        <w:gridCol w:w="3152"/>
        <w:gridCol w:w="1258"/>
        <w:gridCol w:w="868"/>
        <w:gridCol w:w="817"/>
        <w:gridCol w:w="2268"/>
        <w:gridCol w:w="1418"/>
      </w:tblGrid>
      <w:tr w:rsidR="002B5739" w:rsidTr="00C6408E">
        <w:trPr>
          <w:trHeight w:val="24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369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3369B">
              <w:rPr>
                <w:sz w:val="16"/>
                <w:szCs w:val="16"/>
              </w:rPr>
              <w:t>/</w:t>
            </w:r>
            <w:proofErr w:type="spellStart"/>
            <w:r w:rsidRPr="0083369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Уровень напряжения в точке присоединения  мощности Заявителя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Обозначение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ставок за единицу максимальной мощности для Заявителей, за исключением Заявителей, плата для которых устанавливается по п.18 Методических указаний и Заявителей с присоединяемой максимальной мощностью до 150 кВт, включительно (с учетом ранее присоединенной в данной точке присоединения)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ставок за единицу максимальной мощности для Заявителей с присоединяемой мощностью до 150 кВт, включительно (с учетом ранее присоединенной в данной точке присоединения)</w:t>
            </w:r>
          </w:p>
        </w:tc>
      </w:tr>
      <w:tr w:rsidR="002B5739" w:rsidTr="00C6408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.1*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руб/кВт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189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строительство воздушных линий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 НН (0,4 кВ и ниже), СН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 xml:space="preserve"> (20-1 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4705.0</w:t>
            </w:r>
          </w:p>
        </w:tc>
      </w:tr>
      <w:tr w:rsidR="002B5739" w:rsidTr="00C6408E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3.2. 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строительство кабельных линий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 НН (0,4 кВ и ниже)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С3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12349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6174.5</w:t>
            </w:r>
          </w:p>
        </w:tc>
      </w:tr>
      <w:tr w:rsidR="002B5739" w:rsidTr="00C6408E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 кВ)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С3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11443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5721.5</w:t>
            </w:r>
          </w:p>
        </w:tc>
      </w:tr>
      <w:tr w:rsidR="002B5739" w:rsidTr="00C6408E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строительство пунктов секционирования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B5739" w:rsidTr="00C6408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3.4.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строительство комплексных трансформаторных подстанций (КТП), распределительных трансформаторных подстанций (РТП) до 35 кВ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63-10/0,5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8356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4178.0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6708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3354.0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160-10/0,5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4342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2171.0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250-10/0,5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1 535.5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400-10/0,5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1 063.5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FA343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A343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736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100 -10/0,5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22015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11007.5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160 -10/0,5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17726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8863.0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250-10/0,5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7 888.5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400-10/0,5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5 619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630-10/0,5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3 834.5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1000-10/0,5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FA343E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39" w:rsidRPr="000B7EBA" w:rsidRDefault="002B5739" w:rsidP="00C6408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3 023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13751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6875.5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9055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4527.5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17634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8817.0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5750.5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28920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14460.0</w:t>
            </w:r>
          </w:p>
        </w:tc>
      </w:tr>
      <w:tr w:rsidR="002B5739" w:rsidTr="00C6408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18611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9305.5</w:t>
            </w:r>
          </w:p>
        </w:tc>
      </w:tr>
      <w:tr w:rsidR="002B5739" w:rsidTr="00C6408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.2*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314</w:t>
            </w:r>
          </w:p>
        </w:tc>
      </w:tr>
      <w:tr w:rsidR="002B5739" w:rsidTr="00C6408E">
        <w:trPr>
          <w:trHeight w:val="11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Устройств**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.3*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B5739" w:rsidTr="00C6408E">
        <w:trPr>
          <w:trHeight w:val="13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Осуществление сетевой организацией фактического присоединения объектов Заявителя к электрическим сетям и включение </w:t>
            </w: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коммунационного</w:t>
            </w:r>
            <w:proofErr w:type="spellEnd"/>
            <w:r w:rsidRPr="0083369B">
              <w:rPr>
                <w:bCs/>
                <w:color w:val="000000"/>
                <w:sz w:val="16"/>
                <w:szCs w:val="16"/>
              </w:rPr>
              <w:t xml:space="preserve"> аппарата (фиксация коммутационного аппарата в положение "включено")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.4*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739" w:rsidRPr="0083369B" w:rsidRDefault="002B5739" w:rsidP="00C640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39" w:rsidRPr="0083369B" w:rsidRDefault="002B5739" w:rsidP="00C6408E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171</w:t>
            </w:r>
          </w:p>
        </w:tc>
      </w:tr>
    </w:tbl>
    <w:p w:rsidR="002B5739" w:rsidRDefault="002B5739" w:rsidP="002B5739">
      <w:pPr>
        <w:pStyle w:val="a4"/>
        <w:tabs>
          <w:tab w:val="left" w:pos="927"/>
        </w:tabs>
        <w:rPr>
          <w:sz w:val="20"/>
          <w:lang w:val="en-US"/>
        </w:rPr>
      </w:pPr>
    </w:p>
    <w:p w:rsidR="002B5739" w:rsidRPr="002B5739" w:rsidRDefault="002B5739" w:rsidP="002B5739">
      <w:pPr>
        <w:pStyle w:val="a4"/>
        <w:tabs>
          <w:tab w:val="left" w:pos="927"/>
        </w:tabs>
        <w:rPr>
          <w:sz w:val="18"/>
        </w:rPr>
      </w:pPr>
      <w:r w:rsidRPr="00563FFB">
        <w:rPr>
          <w:sz w:val="20"/>
        </w:rPr>
        <w:t xml:space="preserve">* - </w:t>
      </w:r>
      <w:r w:rsidRPr="002B5739">
        <w:rPr>
          <w:sz w:val="18"/>
        </w:rPr>
        <w:t>В соответствии с пунктом 26 Методических указаний по определению размера платы за технологическое присоединение к электрическим сетям (приказ ФСТ РФ от 11.09.2012г. №209-э/1) сумма ставок за единицу максимальной мощности на осуществление организационных мероприятий, указанных в пунктах 1, 4, 5, 6  приложения соответствует значению стандартизированной тарифной ставке С</w:t>
      </w:r>
      <w:proofErr w:type="gramStart"/>
      <w:r w:rsidRPr="002B5739">
        <w:rPr>
          <w:sz w:val="18"/>
        </w:rPr>
        <w:t>1</w:t>
      </w:r>
      <w:proofErr w:type="gramEnd"/>
      <w:r w:rsidRPr="002B5739">
        <w:rPr>
          <w:sz w:val="18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</w:t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</w:p>
    <w:p w:rsidR="002B5739" w:rsidRPr="002B5739" w:rsidRDefault="002B5739" w:rsidP="002B5739">
      <w:pPr>
        <w:pStyle w:val="a4"/>
        <w:tabs>
          <w:tab w:val="left" w:pos="927"/>
        </w:tabs>
        <w:rPr>
          <w:sz w:val="18"/>
        </w:rPr>
      </w:pPr>
      <w:r w:rsidRPr="002B5739">
        <w:rPr>
          <w:sz w:val="18"/>
        </w:rPr>
        <w:t>** Ставка за единицу максимальной мощности по пункту 5 приложения не применяется в отношении технологического присоединения следующих заявителей:</w:t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proofErr w:type="gramStart"/>
      <w:r w:rsidRPr="002B5739">
        <w:rPr>
          <w:sz w:val="18"/>
        </w:rPr>
        <w:t>- заявителей 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присоединенной в данной точке присоединения энергопринимающих устройств);</w:t>
      </w:r>
      <w:proofErr w:type="gramEnd"/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r w:rsidRPr="002B5739">
        <w:rPr>
          <w:sz w:val="18"/>
        </w:rPr>
        <w:t xml:space="preserve"> </w:t>
      </w:r>
      <w:proofErr w:type="gramStart"/>
      <w:r w:rsidRPr="002B5739">
        <w:rPr>
          <w:sz w:val="18"/>
        </w:rPr>
        <w:t>-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электроснабжения) к электрическим сетям классом напряжения до 10кВ включительно (с  учетом ранее присоединенной в данной точке присоединения мощности);</w:t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proofErr w:type="gramEnd"/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r w:rsidRPr="002B5739">
        <w:rPr>
          <w:sz w:val="18"/>
        </w:rPr>
        <w:t>- заявителей в целях временного технологического присоединения, предусмотренного разделом VII Правил технологического присоединения;</w:t>
      </w:r>
      <w:r w:rsidRPr="002B5739">
        <w:rPr>
          <w:sz w:val="18"/>
        </w:rPr>
        <w:tab/>
      </w:r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proofErr w:type="gramStart"/>
      <w:r w:rsidRPr="002B5739">
        <w:rPr>
          <w:sz w:val="18"/>
        </w:rPr>
        <w:t>-заявителей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52338B" w:rsidRPr="002B5739" w:rsidRDefault="0052338B" w:rsidP="00CF6808">
      <w:pPr>
        <w:ind w:firstLine="360"/>
        <w:jc w:val="both"/>
        <w:rPr>
          <w:sz w:val="22"/>
        </w:rPr>
      </w:pPr>
    </w:p>
    <w:p w:rsidR="0052338B" w:rsidRDefault="007F058B" w:rsidP="0052338B">
      <w:pPr>
        <w:ind w:firstLine="539"/>
        <w:jc w:val="both"/>
        <w:rPr>
          <w:bCs/>
          <w:sz w:val="22"/>
          <w:szCs w:val="22"/>
        </w:rPr>
      </w:pPr>
      <w:proofErr w:type="gramStart"/>
      <w:r w:rsidRPr="002052DB">
        <w:rPr>
          <w:sz w:val="22"/>
          <w:szCs w:val="22"/>
        </w:rPr>
        <w:t>Приказ Управления по регулированию тарифов и энергосбережения Пензенской о</w:t>
      </w:r>
      <w:r w:rsidR="00BE0D52">
        <w:rPr>
          <w:sz w:val="22"/>
          <w:szCs w:val="22"/>
        </w:rPr>
        <w:t xml:space="preserve">бласти от 31 декабря 2015 г. № </w:t>
      </w:r>
      <w:r w:rsidR="00BE0D52" w:rsidRPr="002052DB">
        <w:rPr>
          <w:sz w:val="22"/>
          <w:szCs w:val="22"/>
        </w:rPr>
        <w:t>1</w:t>
      </w:r>
      <w:r w:rsidR="00BE0D52">
        <w:rPr>
          <w:sz w:val="22"/>
          <w:szCs w:val="22"/>
        </w:rPr>
        <w:t>91</w:t>
      </w:r>
      <w:r w:rsidR="00BE0D52" w:rsidRPr="002052DB">
        <w:rPr>
          <w:sz w:val="22"/>
          <w:szCs w:val="22"/>
        </w:rPr>
        <w:t xml:space="preserve">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ЗАО «Пензенская горэлектросеть» </w:t>
      </w:r>
      <w:r w:rsidR="00C60137">
        <w:rPr>
          <w:sz w:val="22"/>
          <w:szCs w:val="22"/>
        </w:rPr>
        <w:t xml:space="preserve">опубликован </w:t>
      </w:r>
      <w:r w:rsidR="002052DB" w:rsidRPr="002052DB">
        <w:rPr>
          <w:sz w:val="22"/>
          <w:szCs w:val="22"/>
        </w:rPr>
        <w:t xml:space="preserve">на официальном сайте </w:t>
      </w:r>
      <w:r w:rsidR="002052DB" w:rsidRPr="002052DB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E67DBE">
        <w:rPr>
          <w:bCs/>
          <w:sz w:val="22"/>
          <w:szCs w:val="22"/>
        </w:rPr>
        <w:t>.</w:t>
      </w:r>
      <w:proofErr w:type="gramEnd"/>
    </w:p>
    <w:p w:rsidR="0017357A" w:rsidRDefault="0017357A" w:rsidP="0052338B">
      <w:pPr>
        <w:ind w:firstLine="539"/>
        <w:jc w:val="both"/>
        <w:rPr>
          <w:bCs/>
          <w:sz w:val="22"/>
          <w:szCs w:val="22"/>
        </w:rPr>
      </w:pPr>
    </w:p>
    <w:p w:rsidR="0017357A" w:rsidRPr="002052DB" w:rsidRDefault="0017357A" w:rsidP="0052338B">
      <w:pPr>
        <w:ind w:firstLine="539"/>
        <w:jc w:val="both"/>
        <w:rPr>
          <w:sz w:val="22"/>
          <w:szCs w:val="22"/>
        </w:rPr>
      </w:pPr>
    </w:p>
    <w:sectPr w:rsidR="0017357A" w:rsidRPr="002052DB" w:rsidSect="00F761A1">
      <w:pgSz w:w="11906" w:h="16838" w:code="9"/>
      <w:pgMar w:top="719" w:right="506" w:bottom="5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C9"/>
    <w:multiLevelType w:val="multilevel"/>
    <w:tmpl w:val="193C70B2"/>
    <w:numStyleLink w:val="1"/>
  </w:abstractNum>
  <w:abstractNum w:abstractNumId="1">
    <w:nsid w:val="03CB2D85"/>
    <w:multiLevelType w:val="hybridMultilevel"/>
    <w:tmpl w:val="CD24839E"/>
    <w:lvl w:ilvl="0" w:tplc="F7260DA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EA6C26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6375D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CB3D40"/>
    <w:multiLevelType w:val="multilevel"/>
    <w:tmpl w:val="F3CA0F7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9AC685C"/>
    <w:multiLevelType w:val="multilevel"/>
    <w:tmpl w:val="560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5008D"/>
    <w:multiLevelType w:val="hybridMultilevel"/>
    <w:tmpl w:val="930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2367C"/>
    <w:multiLevelType w:val="hybridMultilevel"/>
    <w:tmpl w:val="588E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1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2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0AC"/>
    <w:rsid w:val="0000618C"/>
    <w:rsid w:val="000402CC"/>
    <w:rsid w:val="000421B2"/>
    <w:rsid w:val="00042AA8"/>
    <w:rsid w:val="00062E6D"/>
    <w:rsid w:val="00067A1B"/>
    <w:rsid w:val="00075C30"/>
    <w:rsid w:val="000973CF"/>
    <w:rsid w:val="00097B1B"/>
    <w:rsid w:val="000C25D6"/>
    <w:rsid w:val="000C2C57"/>
    <w:rsid w:val="000C6DBE"/>
    <w:rsid w:val="000D6D36"/>
    <w:rsid w:val="000D7D3E"/>
    <w:rsid w:val="000E3E11"/>
    <w:rsid w:val="000F0F83"/>
    <w:rsid w:val="000F1EA0"/>
    <w:rsid w:val="00102566"/>
    <w:rsid w:val="00126BAB"/>
    <w:rsid w:val="00144805"/>
    <w:rsid w:val="00157C06"/>
    <w:rsid w:val="00161257"/>
    <w:rsid w:val="0016647C"/>
    <w:rsid w:val="0017357A"/>
    <w:rsid w:val="00175934"/>
    <w:rsid w:val="001837C8"/>
    <w:rsid w:val="00184928"/>
    <w:rsid w:val="001B1BDD"/>
    <w:rsid w:val="001E384C"/>
    <w:rsid w:val="002052DB"/>
    <w:rsid w:val="00214987"/>
    <w:rsid w:val="00234E25"/>
    <w:rsid w:val="00250827"/>
    <w:rsid w:val="00253D04"/>
    <w:rsid w:val="00263458"/>
    <w:rsid w:val="00267E0B"/>
    <w:rsid w:val="00275509"/>
    <w:rsid w:val="00276B0E"/>
    <w:rsid w:val="0028330A"/>
    <w:rsid w:val="00287E53"/>
    <w:rsid w:val="002A1DD9"/>
    <w:rsid w:val="002A4BBB"/>
    <w:rsid w:val="002B5739"/>
    <w:rsid w:val="002D3B80"/>
    <w:rsid w:val="002E6E42"/>
    <w:rsid w:val="003242FF"/>
    <w:rsid w:val="0033374E"/>
    <w:rsid w:val="003339FF"/>
    <w:rsid w:val="0033470E"/>
    <w:rsid w:val="003460E1"/>
    <w:rsid w:val="00356D10"/>
    <w:rsid w:val="00367736"/>
    <w:rsid w:val="00390498"/>
    <w:rsid w:val="003C7C18"/>
    <w:rsid w:val="003E052F"/>
    <w:rsid w:val="003F0F0E"/>
    <w:rsid w:val="003F167E"/>
    <w:rsid w:val="003F2181"/>
    <w:rsid w:val="003F7029"/>
    <w:rsid w:val="00422659"/>
    <w:rsid w:val="004328CB"/>
    <w:rsid w:val="00436D29"/>
    <w:rsid w:val="00450EC9"/>
    <w:rsid w:val="00453361"/>
    <w:rsid w:val="004572C7"/>
    <w:rsid w:val="00475237"/>
    <w:rsid w:val="0049071F"/>
    <w:rsid w:val="00497D54"/>
    <w:rsid w:val="004A1F8A"/>
    <w:rsid w:val="004A321A"/>
    <w:rsid w:val="004B3BA7"/>
    <w:rsid w:val="004B7958"/>
    <w:rsid w:val="004D78FC"/>
    <w:rsid w:val="004E083F"/>
    <w:rsid w:val="004F07B1"/>
    <w:rsid w:val="005002B6"/>
    <w:rsid w:val="0051272A"/>
    <w:rsid w:val="0052338B"/>
    <w:rsid w:val="00523A19"/>
    <w:rsid w:val="0052421D"/>
    <w:rsid w:val="0053513A"/>
    <w:rsid w:val="00563D69"/>
    <w:rsid w:val="00570C34"/>
    <w:rsid w:val="00574C5E"/>
    <w:rsid w:val="005844D2"/>
    <w:rsid w:val="005C1F4C"/>
    <w:rsid w:val="005C78E1"/>
    <w:rsid w:val="005D3085"/>
    <w:rsid w:val="005E1BA2"/>
    <w:rsid w:val="005E1F82"/>
    <w:rsid w:val="005E5497"/>
    <w:rsid w:val="005E5F42"/>
    <w:rsid w:val="005E7D91"/>
    <w:rsid w:val="005F6089"/>
    <w:rsid w:val="00605C26"/>
    <w:rsid w:val="00612EB4"/>
    <w:rsid w:val="006341BC"/>
    <w:rsid w:val="00653386"/>
    <w:rsid w:val="006611A9"/>
    <w:rsid w:val="0069294F"/>
    <w:rsid w:val="006B1B79"/>
    <w:rsid w:val="006B3612"/>
    <w:rsid w:val="006C58D6"/>
    <w:rsid w:val="006D5223"/>
    <w:rsid w:val="006D5610"/>
    <w:rsid w:val="006F33C2"/>
    <w:rsid w:val="00700F08"/>
    <w:rsid w:val="0070475C"/>
    <w:rsid w:val="0071536E"/>
    <w:rsid w:val="007200D5"/>
    <w:rsid w:val="00724041"/>
    <w:rsid w:val="00725789"/>
    <w:rsid w:val="007334DB"/>
    <w:rsid w:val="00736559"/>
    <w:rsid w:val="00745E8A"/>
    <w:rsid w:val="007600BE"/>
    <w:rsid w:val="00770862"/>
    <w:rsid w:val="00775F68"/>
    <w:rsid w:val="00780AA9"/>
    <w:rsid w:val="00782BB7"/>
    <w:rsid w:val="007873F0"/>
    <w:rsid w:val="007B1950"/>
    <w:rsid w:val="007E32EB"/>
    <w:rsid w:val="007F058B"/>
    <w:rsid w:val="00830615"/>
    <w:rsid w:val="00830667"/>
    <w:rsid w:val="0083142D"/>
    <w:rsid w:val="00834CCF"/>
    <w:rsid w:val="0085155E"/>
    <w:rsid w:val="00885283"/>
    <w:rsid w:val="00896744"/>
    <w:rsid w:val="008A1091"/>
    <w:rsid w:val="008B1013"/>
    <w:rsid w:val="008B1EEA"/>
    <w:rsid w:val="008E283C"/>
    <w:rsid w:val="008E7268"/>
    <w:rsid w:val="008F3DF4"/>
    <w:rsid w:val="00923BA6"/>
    <w:rsid w:val="00925942"/>
    <w:rsid w:val="0093316D"/>
    <w:rsid w:val="00941C2A"/>
    <w:rsid w:val="00966226"/>
    <w:rsid w:val="00974417"/>
    <w:rsid w:val="009A3EFE"/>
    <w:rsid w:val="009B2FEB"/>
    <w:rsid w:val="009B47DE"/>
    <w:rsid w:val="009C0958"/>
    <w:rsid w:val="009C09B3"/>
    <w:rsid w:val="009D1428"/>
    <w:rsid w:val="009E1E1E"/>
    <w:rsid w:val="009F173D"/>
    <w:rsid w:val="009F28A2"/>
    <w:rsid w:val="009F3937"/>
    <w:rsid w:val="00A04575"/>
    <w:rsid w:val="00A129B8"/>
    <w:rsid w:val="00A15E2B"/>
    <w:rsid w:val="00A513E0"/>
    <w:rsid w:val="00A526E2"/>
    <w:rsid w:val="00A646FC"/>
    <w:rsid w:val="00A82DBB"/>
    <w:rsid w:val="00A86749"/>
    <w:rsid w:val="00A96367"/>
    <w:rsid w:val="00AA120F"/>
    <w:rsid w:val="00AA5544"/>
    <w:rsid w:val="00AC3C43"/>
    <w:rsid w:val="00AC620A"/>
    <w:rsid w:val="00AE7E26"/>
    <w:rsid w:val="00B03AE2"/>
    <w:rsid w:val="00B145B3"/>
    <w:rsid w:val="00B22FD6"/>
    <w:rsid w:val="00B24E03"/>
    <w:rsid w:val="00B25E56"/>
    <w:rsid w:val="00B36880"/>
    <w:rsid w:val="00B40944"/>
    <w:rsid w:val="00B5356F"/>
    <w:rsid w:val="00B6097A"/>
    <w:rsid w:val="00B61423"/>
    <w:rsid w:val="00B930AC"/>
    <w:rsid w:val="00B945C0"/>
    <w:rsid w:val="00B9587D"/>
    <w:rsid w:val="00BB06F1"/>
    <w:rsid w:val="00BD0F53"/>
    <w:rsid w:val="00BE0D52"/>
    <w:rsid w:val="00BE0D9C"/>
    <w:rsid w:val="00BE2F62"/>
    <w:rsid w:val="00BE3B36"/>
    <w:rsid w:val="00BE6095"/>
    <w:rsid w:val="00BF6AC3"/>
    <w:rsid w:val="00C15694"/>
    <w:rsid w:val="00C21B82"/>
    <w:rsid w:val="00C31B45"/>
    <w:rsid w:val="00C373D6"/>
    <w:rsid w:val="00C43E4B"/>
    <w:rsid w:val="00C60137"/>
    <w:rsid w:val="00C818E7"/>
    <w:rsid w:val="00C935CE"/>
    <w:rsid w:val="00CA2527"/>
    <w:rsid w:val="00CA2EBC"/>
    <w:rsid w:val="00CB2EED"/>
    <w:rsid w:val="00CC3389"/>
    <w:rsid w:val="00CD5303"/>
    <w:rsid w:val="00CE1AEC"/>
    <w:rsid w:val="00CE3A06"/>
    <w:rsid w:val="00CF6808"/>
    <w:rsid w:val="00D11D3E"/>
    <w:rsid w:val="00D15C8D"/>
    <w:rsid w:val="00D26B65"/>
    <w:rsid w:val="00D31F2E"/>
    <w:rsid w:val="00D51486"/>
    <w:rsid w:val="00D81074"/>
    <w:rsid w:val="00D864D6"/>
    <w:rsid w:val="00DB2704"/>
    <w:rsid w:val="00DC5B89"/>
    <w:rsid w:val="00DE204D"/>
    <w:rsid w:val="00DE35E7"/>
    <w:rsid w:val="00DE7158"/>
    <w:rsid w:val="00E155F1"/>
    <w:rsid w:val="00E377C3"/>
    <w:rsid w:val="00E55F49"/>
    <w:rsid w:val="00E56111"/>
    <w:rsid w:val="00E649E4"/>
    <w:rsid w:val="00E67DBE"/>
    <w:rsid w:val="00E73B84"/>
    <w:rsid w:val="00E806E9"/>
    <w:rsid w:val="00E80780"/>
    <w:rsid w:val="00E80A28"/>
    <w:rsid w:val="00E868A9"/>
    <w:rsid w:val="00E93C23"/>
    <w:rsid w:val="00E96FA9"/>
    <w:rsid w:val="00EA39CC"/>
    <w:rsid w:val="00EB5FD6"/>
    <w:rsid w:val="00EC2B75"/>
    <w:rsid w:val="00EE196E"/>
    <w:rsid w:val="00EF0EAF"/>
    <w:rsid w:val="00EF7B26"/>
    <w:rsid w:val="00F04DE4"/>
    <w:rsid w:val="00F04E6D"/>
    <w:rsid w:val="00F050A5"/>
    <w:rsid w:val="00F1079B"/>
    <w:rsid w:val="00F13F6D"/>
    <w:rsid w:val="00F31BD3"/>
    <w:rsid w:val="00F41F6C"/>
    <w:rsid w:val="00F5602E"/>
    <w:rsid w:val="00F63C22"/>
    <w:rsid w:val="00F65C38"/>
    <w:rsid w:val="00F748AC"/>
    <w:rsid w:val="00F761A1"/>
    <w:rsid w:val="00F81A6D"/>
    <w:rsid w:val="00FA1AF3"/>
    <w:rsid w:val="00FB1760"/>
    <w:rsid w:val="00FC4CF1"/>
    <w:rsid w:val="00FC5300"/>
    <w:rsid w:val="00FD6AB6"/>
    <w:rsid w:val="00FE2277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13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5F4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numbering" w:customStyle="1" w:styleId="1">
    <w:name w:val="Стиль1"/>
    <w:uiPriority w:val="99"/>
    <w:rsid w:val="0069294F"/>
    <w:pPr>
      <w:numPr>
        <w:numId w:val="10"/>
      </w:numPr>
    </w:pPr>
  </w:style>
  <w:style w:type="paragraph" w:styleId="a4">
    <w:name w:val="Body Text Indent"/>
    <w:basedOn w:val="a"/>
    <w:link w:val="a5"/>
    <w:rsid w:val="002B5739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B5739"/>
    <w:rPr>
      <w:sz w:val="24"/>
    </w:rPr>
  </w:style>
  <w:style w:type="character" w:styleId="a6">
    <w:name w:val="Hyperlink"/>
    <w:basedOn w:val="a0"/>
    <w:rsid w:val="0017357A"/>
    <w:rPr>
      <w:color w:val="0000FF" w:themeColor="hyperlink"/>
      <w:u w:val="single"/>
    </w:rPr>
  </w:style>
  <w:style w:type="character" w:styleId="a7">
    <w:name w:val="FollowedHyperlink"/>
    <w:basedOn w:val="a0"/>
    <w:rsid w:val="001735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C282-39F6-43C2-9DB1-12ED912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«Пензенская горэлектросеть» на 2012 год</vt:lpstr>
    </vt:vector>
  </TitlesOfParts>
  <Company>SamLab.ws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«Пензенская горэлектросеть» на 2012 год</dc:title>
  <dc:creator>hodakova</dc:creator>
  <cp:lastModifiedBy>kalujnai</cp:lastModifiedBy>
  <cp:revision>5</cp:revision>
  <cp:lastPrinted>2014-02-18T12:54:00Z</cp:lastPrinted>
  <dcterms:created xsi:type="dcterms:W3CDTF">2016-01-11T07:07:00Z</dcterms:created>
  <dcterms:modified xsi:type="dcterms:W3CDTF">2016-01-11T10:18:00Z</dcterms:modified>
</cp:coreProperties>
</file>