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81" w:rsidRPr="00886C4E" w:rsidRDefault="00FD5AD0" w:rsidP="00FD5AD0">
      <w:pPr>
        <w:jc w:val="center"/>
        <w:rPr>
          <w:b/>
        </w:rPr>
      </w:pPr>
      <w:r w:rsidRPr="00886C4E">
        <w:rPr>
          <w:b/>
        </w:rPr>
        <w:t>Общая информация о передаче электрической энергии, схема взаимодействия участников по передаче электрической энергии и перечень актуальных нормативных актов</w:t>
      </w:r>
    </w:p>
    <w:p w:rsidR="00FD5AD0" w:rsidRPr="00886C4E" w:rsidRDefault="00FD5AD0" w:rsidP="00FD5AD0">
      <w:pPr>
        <w:jc w:val="center"/>
      </w:pPr>
    </w:p>
    <w:p w:rsidR="00FD5AD0" w:rsidRPr="00886C4E" w:rsidRDefault="00FD5AD0" w:rsidP="00FD5AD0">
      <w:pPr>
        <w:jc w:val="center"/>
      </w:pPr>
    </w:p>
    <w:p w:rsidR="00FD5AD0" w:rsidRPr="00886C4E" w:rsidRDefault="00FD5AD0" w:rsidP="00FD5AD0">
      <w:pPr>
        <w:widowControl w:val="0"/>
        <w:autoSpaceDE w:val="0"/>
        <w:autoSpaceDN w:val="0"/>
        <w:adjustRightInd w:val="0"/>
      </w:pPr>
      <w:r w:rsidRPr="00886C4E">
        <w:t>Субъектами розничных рынков являются: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потребители;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исполнители коммунальной услуги;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гарантирующие поставщики;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proofErr w:type="spellStart"/>
      <w:r w:rsidRPr="00886C4E">
        <w:t>энергосбытовые</w:t>
      </w:r>
      <w:proofErr w:type="spellEnd"/>
      <w:r w:rsidRPr="00886C4E">
        <w:t xml:space="preserve">, </w:t>
      </w:r>
      <w:proofErr w:type="spellStart"/>
      <w:r w:rsidRPr="00886C4E">
        <w:t>энергоснабжающие</w:t>
      </w:r>
      <w:proofErr w:type="spellEnd"/>
      <w:r w:rsidRPr="00886C4E">
        <w:t xml:space="preserve"> организации;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производители электрической энергии (мощности) на розничных рынках;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сетевые организации;</w:t>
      </w: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</w:pPr>
      <w:r w:rsidRPr="00886C4E">
        <w:t>субъекты оперативно-диспетчерского управления в электроэнергетике, осуществляющие оперативно-диспетчерское управление на розничных рынках.</w:t>
      </w:r>
    </w:p>
    <w:p w:rsidR="00FD5AD0" w:rsidRPr="00886C4E" w:rsidRDefault="00FD5AD0" w:rsidP="00FD5AD0">
      <w:pPr>
        <w:jc w:val="both"/>
      </w:pPr>
    </w:p>
    <w:p w:rsidR="00FD5AD0" w:rsidRPr="00886C4E" w:rsidRDefault="00FD5AD0" w:rsidP="00FD5A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6C4E">
        <w:t xml:space="preserve">Сетевые организации приобретают электрическую энергию (мощность) на розничных рынках для собственных (хозяйственных) нужд и в целях компенсации потерь электрической энергии в принадлежащих им на праве собственности или на ином законном основании объектах </w:t>
      </w:r>
      <w:proofErr w:type="spellStart"/>
      <w:r w:rsidRPr="00886C4E">
        <w:t>электросетевого</w:t>
      </w:r>
      <w:proofErr w:type="spellEnd"/>
      <w:r w:rsidRPr="00886C4E">
        <w:t xml:space="preserve"> хозяйства.</w:t>
      </w:r>
      <w:proofErr w:type="gramEnd"/>
      <w:r w:rsidRPr="00886C4E">
        <w:t xml:space="preserve"> В этом случае сетевые организации выступают как потребители. Иные владельцы объектов </w:t>
      </w:r>
      <w:proofErr w:type="spellStart"/>
      <w:r w:rsidRPr="00886C4E">
        <w:t>электросетевого</w:t>
      </w:r>
      <w:proofErr w:type="spellEnd"/>
      <w:r w:rsidRPr="00886C4E">
        <w:t xml:space="preserve"> хозяйства приобретают электрическую энергию (мощность) в целях компенсации потерь электрической энергии, возникающих в принадлежащих им на праве собственности или на ином законном основании объектах </w:t>
      </w:r>
      <w:proofErr w:type="spellStart"/>
      <w:r w:rsidRPr="00886C4E">
        <w:t>электросетевого</w:t>
      </w:r>
      <w:proofErr w:type="spellEnd"/>
      <w:r w:rsidRPr="00886C4E">
        <w:t xml:space="preserve"> хозяйства, и выступают в этом случае как потребители.</w:t>
      </w:r>
    </w:p>
    <w:p w:rsidR="00FD5AD0" w:rsidRPr="00886C4E" w:rsidRDefault="00FD5AD0" w:rsidP="00086CFD">
      <w:pPr>
        <w:widowControl w:val="0"/>
        <w:autoSpaceDE w:val="0"/>
        <w:autoSpaceDN w:val="0"/>
        <w:adjustRightInd w:val="0"/>
        <w:ind w:firstLine="540"/>
        <w:jc w:val="both"/>
      </w:pPr>
      <w:r w:rsidRPr="00886C4E">
        <w:t>Потребители (покупатели), участвующие в сфере обращения электрической энергии на розничных рынках, вправе приобретать эле</w:t>
      </w:r>
      <w:r w:rsidR="00086CFD" w:rsidRPr="00886C4E">
        <w:t>ктрическую энергию</w:t>
      </w:r>
      <w:r w:rsidRPr="00886C4E">
        <w:t xml:space="preserve"> у гарантирующих поставщиков, </w:t>
      </w:r>
      <w:proofErr w:type="spellStart"/>
      <w:r w:rsidRPr="00886C4E">
        <w:t>энергосбытовых</w:t>
      </w:r>
      <w:proofErr w:type="spellEnd"/>
      <w:r w:rsidRPr="00886C4E">
        <w:t xml:space="preserve"> (</w:t>
      </w:r>
      <w:proofErr w:type="spellStart"/>
      <w:r w:rsidRPr="00886C4E">
        <w:t>энергоснабжающих</w:t>
      </w:r>
      <w:proofErr w:type="spellEnd"/>
      <w:r w:rsidRPr="00886C4E">
        <w:t>) организаций, производителей электрической энергии (мощности) на розничных рынках.</w:t>
      </w:r>
    </w:p>
    <w:p w:rsidR="00FD5AD0" w:rsidRPr="00886C4E" w:rsidRDefault="00FD5AD0" w:rsidP="00086CFD">
      <w:pPr>
        <w:widowControl w:val="0"/>
        <w:autoSpaceDE w:val="0"/>
        <w:autoSpaceDN w:val="0"/>
        <w:adjustRightInd w:val="0"/>
        <w:ind w:firstLine="540"/>
        <w:jc w:val="both"/>
      </w:pPr>
      <w:r w:rsidRPr="00886C4E">
        <w:t>Производители электрической энергии (мощности), не являющиеся субъектами розничных рынков, не вправе продавать на розничных рынках электрическую энергию (мощность), продажа которой в соответствии с законодательством Российской Федерации об электроэнергетике возможна только на оптовом рынке.</w:t>
      </w:r>
    </w:p>
    <w:p w:rsidR="00311FE3" w:rsidRPr="00886C4E" w:rsidRDefault="00311FE3" w:rsidP="00086CFD">
      <w:pPr>
        <w:widowControl w:val="0"/>
        <w:autoSpaceDE w:val="0"/>
        <w:autoSpaceDN w:val="0"/>
        <w:adjustRightInd w:val="0"/>
        <w:ind w:firstLine="540"/>
        <w:jc w:val="both"/>
      </w:pPr>
      <w:r w:rsidRPr="00886C4E">
        <w:t>Плановые проверки приборов учета проводятся в отношении приборов учета, не присоединенных к интеллектуальным системам учета электрической энергии (мощности).</w:t>
      </w:r>
    </w:p>
    <w:p w:rsidR="00311FE3" w:rsidRPr="00886C4E" w:rsidRDefault="00086CFD" w:rsidP="00311FE3">
      <w:pPr>
        <w:autoSpaceDE w:val="0"/>
        <w:autoSpaceDN w:val="0"/>
        <w:adjustRightInd w:val="0"/>
        <w:jc w:val="both"/>
      </w:pPr>
      <w:r w:rsidRPr="00886C4E">
        <w:t xml:space="preserve">Проверки расчетных приборов учета осуществляются сетевой организацией, к объектам </w:t>
      </w:r>
      <w:proofErr w:type="spellStart"/>
      <w:r w:rsidRPr="00886C4E">
        <w:t>электросетевого</w:t>
      </w:r>
      <w:proofErr w:type="spellEnd"/>
      <w:r w:rsidRPr="00886C4E">
        <w:t xml:space="preserve"> хозяйства которой непосредственно или опосредованно присоединены </w:t>
      </w:r>
      <w:proofErr w:type="spellStart"/>
      <w:r w:rsidRPr="00886C4E">
        <w:t>энергопринимающие</w:t>
      </w:r>
      <w:proofErr w:type="spellEnd"/>
      <w:r w:rsidRPr="00886C4E">
        <w:t xml:space="preserve"> устройства</w:t>
      </w:r>
      <w:r w:rsidR="00311FE3" w:rsidRPr="00886C4E">
        <w:t>.</w:t>
      </w:r>
    </w:p>
    <w:p w:rsidR="00086CFD" w:rsidRPr="00886C4E" w:rsidRDefault="00086CFD" w:rsidP="00086CFD">
      <w:pPr>
        <w:widowControl w:val="0"/>
        <w:autoSpaceDE w:val="0"/>
        <w:autoSpaceDN w:val="0"/>
        <w:adjustRightInd w:val="0"/>
        <w:ind w:firstLine="540"/>
        <w:jc w:val="both"/>
      </w:pPr>
      <w:r w:rsidRPr="00886C4E">
        <w:t>Основанием для проведения внеплановой проверки приборов учета является:</w:t>
      </w:r>
    </w:p>
    <w:p w:rsidR="00311FE3" w:rsidRPr="00886C4E" w:rsidRDefault="00311FE3" w:rsidP="00311FE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6C4E">
        <w:t>полученное от гарантирующего поставщика (</w:t>
      </w:r>
      <w:proofErr w:type="spellStart"/>
      <w:r w:rsidRPr="00886C4E">
        <w:t>энергосбытовой</w:t>
      </w:r>
      <w:proofErr w:type="spellEnd"/>
      <w:r w:rsidRPr="00886C4E">
        <w:t xml:space="preserve">, </w:t>
      </w:r>
      <w:proofErr w:type="spellStart"/>
      <w:r w:rsidRPr="00886C4E">
        <w:t>энергоснабжающей</w:t>
      </w:r>
      <w:proofErr w:type="spellEnd"/>
      <w:r w:rsidRPr="00886C4E">
        <w:t xml:space="preserve"> организации) заявление о необходимости проведения внеплановой проверки приборов учета в </w:t>
      </w:r>
      <w:proofErr w:type="gramStart"/>
      <w:r w:rsidRPr="00886C4E">
        <w:t>отношении</w:t>
      </w:r>
      <w:proofErr w:type="gramEnd"/>
      <w:r w:rsidRPr="00886C4E">
        <w:t xml:space="preserve"> обслуживаемых им точек поставки, но не более чем 10 процентов точек поставки, планируемых сетевой организацией (гарантирующим поставщиком) к проверке в соответствии с указанным планом-графиком в этом же расчетном периоде;</w:t>
      </w:r>
    </w:p>
    <w:p w:rsidR="00311FE3" w:rsidRPr="00886C4E" w:rsidRDefault="00311FE3" w:rsidP="00311FE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6C4E">
        <w:t xml:space="preserve">полученное от потребителя (производителя электрической энергии (мощности) на розничном рынке), </w:t>
      </w:r>
      <w:proofErr w:type="spellStart"/>
      <w:r w:rsidRPr="00886C4E">
        <w:t>энергопринимающие</w:t>
      </w:r>
      <w:proofErr w:type="spellEnd"/>
      <w:r w:rsidRPr="00886C4E">
        <w:t xml:space="preserve"> устройства (объекты по производству электрической энергии (мощности) которого непосредственно или опосредованно присоединены к объектам </w:t>
      </w:r>
      <w:proofErr w:type="spellStart"/>
      <w:r w:rsidRPr="00886C4E">
        <w:t>электросетевого</w:t>
      </w:r>
      <w:proofErr w:type="spellEnd"/>
      <w:r w:rsidRPr="00886C4E">
        <w:t xml:space="preserve"> хозяйства сетевой организации, заявление о необходимости проведения внеплановой проверки в отношении его точек поставки;</w:t>
      </w:r>
    </w:p>
    <w:p w:rsidR="00311FE3" w:rsidRPr="00886C4E" w:rsidRDefault="00311FE3" w:rsidP="00311FE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6C4E">
        <w:lastRenderedPageBreak/>
        <w:t>выявление факта нарушения сохранности контрольных пломб и (или) знаков визуального контроля при проведении снятия показаний или осмотра состояния расчетного прибора учета перед его демонтажем;</w:t>
      </w:r>
    </w:p>
    <w:p w:rsidR="00311FE3" w:rsidRPr="00886C4E" w:rsidRDefault="00311FE3" w:rsidP="00311FE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886C4E">
        <w:t xml:space="preserve">срабатывание индикаторов вскрытия электронных пломб на корпусе и </w:t>
      </w:r>
      <w:proofErr w:type="spellStart"/>
      <w:r w:rsidRPr="00886C4E">
        <w:t>клемной</w:t>
      </w:r>
      <w:proofErr w:type="spellEnd"/>
      <w:r w:rsidRPr="00886C4E">
        <w:t xml:space="preserve"> крышки прибора учета, присоединенного к интеллектуальной системе учета электрической энергии (мощности), и факт события воздействия магнитных полей на элементы прибора учета, присоединенного к интеллектуальной системе учета электрической энергии (мощности),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учета, присоединенного к интеллектуальной системе учета</w:t>
      </w:r>
      <w:proofErr w:type="gramEnd"/>
      <w:r w:rsidRPr="00886C4E">
        <w:t xml:space="preserve"> электрической энергии (мощности) в течение одного месяца;</w:t>
      </w:r>
    </w:p>
    <w:p w:rsidR="00EC06DD" w:rsidRPr="00886C4E" w:rsidRDefault="00EC06DD" w:rsidP="00EC06DD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6C4E">
        <w:t>отсутствие показаний расчетного прибора учета 2 и более расчетных периодов подряд.</w:t>
      </w:r>
    </w:p>
    <w:p w:rsidR="00311FE3" w:rsidRPr="00886C4E" w:rsidRDefault="00311FE3" w:rsidP="00EC06DD">
      <w:pPr>
        <w:autoSpaceDE w:val="0"/>
        <w:autoSpaceDN w:val="0"/>
        <w:adjustRightInd w:val="0"/>
        <w:ind w:left="900"/>
        <w:jc w:val="both"/>
      </w:pPr>
    </w:p>
    <w:p w:rsidR="00086CFD" w:rsidRPr="00886C4E" w:rsidRDefault="00311FE3" w:rsidP="00691442">
      <w:pPr>
        <w:widowControl w:val="0"/>
        <w:autoSpaceDE w:val="0"/>
        <w:autoSpaceDN w:val="0"/>
        <w:adjustRightInd w:val="0"/>
        <w:ind w:firstLine="540"/>
        <w:jc w:val="both"/>
      </w:pPr>
      <w:r w:rsidRPr="00886C4E">
        <w:t xml:space="preserve"> </w:t>
      </w:r>
      <w:proofErr w:type="gramStart"/>
      <w:r w:rsidR="00086CFD" w:rsidRPr="00886C4E">
        <w:t xml:space="preserve">Результатом проверки является заключение о пригодности расчетного прибора учета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</w:t>
      </w:r>
      <w:proofErr w:type="spellStart"/>
      <w:r w:rsidR="00086CFD" w:rsidRPr="00886C4E">
        <w:t>безучетного</w:t>
      </w:r>
      <w:proofErr w:type="spellEnd"/>
      <w:r w:rsidR="00086CFD" w:rsidRPr="00886C4E">
        <w:t xml:space="preserve"> потребления или о признании расчетного прибора учета утраченным.</w:t>
      </w:r>
      <w:proofErr w:type="gramEnd"/>
    </w:p>
    <w:p w:rsidR="00691442" w:rsidRPr="00886C4E" w:rsidRDefault="00691442" w:rsidP="00691442">
      <w:pPr>
        <w:autoSpaceDE w:val="0"/>
        <w:autoSpaceDN w:val="0"/>
        <w:adjustRightInd w:val="0"/>
        <w:ind w:firstLine="540"/>
        <w:jc w:val="both"/>
      </w:pPr>
      <w:r w:rsidRPr="00886C4E">
        <w:t>Внеплановые проверки осуществляются сетевыми организациями, а в отношении коллективного (</w:t>
      </w:r>
      <w:proofErr w:type="spellStart"/>
      <w:r w:rsidRPr="00886C4E">
        <w:t>общедомового</w:t>
      </w:r>
      <w:proofErr w:type="spellEnd"/>
      <w:r w:rsidRPr="00886C4E">
        <w:t>) прибора учета гарантирующими поставщиками.</w:t>
      </w:r>
    </w:p>
    <w:p w:rsidR="00691442" w:rsidRPr="00886C4E" w:rsidRDefault="00691442" w:rsidP="00691442">
      <w:pPr>
        <w:autoSpaceDE w:val="0"/>
        <w:autoSpaceDN w:val="0"/>
        <w:adjustRightInd w:val="0"/>
        <w:spacing w:before="240"/>
        <w:jc w:val="both"/>
      </w:pPr>
      <w:r w:rsidRPr="00886C4E">
        <w:t xml:space="preserve"> </w:t>
      </w:r>
      <w:r w:rsidRPr="00886C4E">
        <w:tab/>
      </w:r>
      <w:proofErr w:type="gramStart"/>
      <w:r w:rsidRPr="00886C4E">
        <w:t xml:space="preserve">Лицо, являющееся собственником расчетного прибора учета и (или) </w:t>
      </w:r>
      <w:proofErr w:type="spellStart"/>
      <w:r w:rsidRPr="00886C4E">
        <w:t>энергопринимающих</w:t>
      </w:r>
      <w:proofErr w:type="spellEnd"/>
      <w:r w:rsidRPr="00886C4E">
        <w:t xml:space="preserve"> устройств (объектов электроэнергетики), в границах балансовой принадлежности (земельного участка) которых установлен расчетный прибор учета, принадлежащий другому лицу, при выявлении фактов его неисправности или утраты обязано в течение одних суток сообщить об этом другой стороне по договору энергоснабжения (купли-продажи (поставки) электрической энергии (мощности), оказания услуг по передаче электрической энергии).</w:t>
      </w:r>
      <w:proofErr w:type="gramEnd"/>
    </w:p>
    <w:p w:rsidR="00201640" w:rsidRPr="00886C4E" w:rsidRDefault="00201640" w:rsidP="00201640">
      <w:pPr>
        <w:widowControl w:val="0"/>
        <w:autoSpaceDE w:val="0"/>
        <w:autoSpaceDN w:val="0"/>
        <w:adjustRightInd w:val="0"/>
      </w:pPr>
    </w:p>
    <w:p w:rsidR="00201640" w:rsidRPr="00886C4E" w:rsidRDefault="00201640" w:rsidP="00201640">
      <w:pPr>
        <w:pStyle w:val="a9"/>
        <w:widowControl w:val="0"/>
        <w:autoSpaceDE w:val="0"/>
        <w:autoSpaceDN w:val="0"/>
        <w:adjustRightInd w:val="0"/>
        <w:rPr>
          <w:b/>
        </w:rPr>
      </w:pPr>
    </w:p>
    <w:p w:rsidR="00D0652C" w:rsidRPr="00886C4E" w:rsidRDefault="00201640" w:rsidP="00D0652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886C4E">
        <w:rPr>
          <w:b/>
        </w:rPr>
        <w:t>Перечень актуальных нормативных актов</w:t>
      </w:r>
      <w:r w:rsidR="00A43C4A" w:rsidRPr="00886C4E">
        <w:fldChar w:fldCharType="begin"/>
      </w:r>
      <w:r w:rsidRPr="00886C4E">
        <w:instrText xml:space="preserve">HYPERLINK consultantplus://offline/ref=2960547907A2BF2C5F46590FC5EA1AE977C4D918C072F3A2E38D40189615EEE26F603131A5C81D58MCt9W </w:instrText>
      </w:r>
      <w:r w:rsidR="00A43C4A" w:rsidRPr="00886C4E">
        <w:fldChar w:fldCharType="separate"/>
      </w:r>
    </w:p>
    <w:p w:rsidR="00201640" w:rsidRPr="00886C4E" w:rsidRDefault="00691442" w:rsidP="00D0652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i/>
          <w:iCs/>
        </w:rPr>
      </w:pPr>
      <w:r w:rsidRPr="00886C4E">
        <w:rPr>
          <w:i/>
          <w:iCs/>
        </w:rPr>
        <w:t xml:space="preserve">Федеральный закон от 23.11.2009 N 261-ФЗ (ред. от 26.07.2019)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="00A43C4A" w:rsidRPr="00886C4E">
        <w:fldChar w:fldCharType="end"/>
      </w:r>
      <w:r w:rsidR="00A43C4A" w:rsidRPr="00886C4E">
        <w:fldChar w:fldCharType="begin"/>
      </w:r>
      <w:r w:rsidR="00201640" w:rsidRPr="00886C4E">
        <w:instrText>HYPERLINK "consultantplus://offline/ref=A4F7BE88E074D59F672922B56A0318833CAE9E98675DF3A1352BD8166798365DADDB4D9969B55D89kFq0W"</w:instrText>
      </w:r>
      <w:r w:rsidR="00A43C4A" w:rsidRPr="00886C4E">
        <w:fldChar w:fldCharType="separate"/>
      </w:r>
    </w:p>
    <w:p w:rsidR="00201640" w:rsidRPr="00886C4E" w:rsidRDefault="00691442" w:rsidP="00D0652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i/>
          <w:iCs/>
        </w:rPr>
      </w:pPr>
      <w:proofErr w:type="gramStart"/>
      <w:r w:rsidRPr="00886C4E">
        <w:rPr>
          <w:i/>
          <w:iCs/>
        </w:rPr>
        <w:t xml:space="preserve">Постановление Правительства РФ от 04.05.2012 N 442 (ред. от 29.12.2020)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</w:t>
      </w:r>
      <w:proofErr w:type="spellStart"/>
      <w:r w:rsidRPr="00886C4E">
        <w:rPr>
          <w:i/>
          <w:iCs/>
        </w:rPr>
        <w:t>изм</w:t>
      </w:r>
      <w:proofErr w:type="spellEnd"/>
      <w:r w:rsidRPr="00886C4E">
        <w:rPr>
          <w:i/>
          <w:iCs/>
        </w:rPr>
        <w:t>. и доп., вступ. в силу с 07.01.2021)</w:t>
      </w:r>
      <w:r w:rsidR="00201640" w:rsidRPr="00886C4E">
        <w:rPr>
          <w:i/>
          <w:iCs/>
        </w:rPr>
        <w:t xml:space="preserve"> </w:t>
      </w:r>
      <w:r w:rsidR="00A43C4A" w:rsidRPr="00886C4E">
        <w:fldChar w:fldCharType="end"/>
      </w:r>
      <w:r w:rsidR="00A43C4A" w:rsidRPr="00886C4E">
        <w:fldChar w:fldCharType="begin"/>
      </w:r>
      <w:r w:rsidR="00201640" w:rsidRPr="00886C4E">
        <w:instrText>HYPERLINK "consultantplus://offline/ref=1D0DF40BE810FD3491CDD6BD6B2139E4BFF09310901A55D967FB869EBDAE3AE04C3F1594CF3157CCoBr1W"</w:instrText>
      </w:r>
      <w:r w:rsidR="00A43C4A" w:rsidRPr="00886C4E">
        <w:fldChar w:fldCharType="separate"/>
      </w:r>
      <w:proofErr w:type="gramEnd"/>
    </w:p>
    <w:p w:rsidR="00201640" w:rsidRPr="00886C4E" w:rsidRDefault="00691442" w:rsidP="00D0652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proofErr w:type="gramStart"/>
      <w:r w:rsidRPr="00886C4E">
        <w:rPr>
          <w:i/>
          <w:iCs/>
        </w:rPr>
        <w:t xml:space="preserve">Постановление Правительства РФ от 04.05.2012 N 442 (ред. от 29.12.2020)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</w:t>
      </w:r>
      <w:proofErr w:type="spellStart"/>
      <w:r w:rsidRPr="00886C4E">
        <w:rPr>
          <w:i/>
          <w:iCs/>
        </w:rPr>
        <w:t>изм</w:t>
      </w:r>
      <w:proofErr w:type="spellEnd"/>
      <w:r w:rsidRPr="00886C4E">
        <w:rPr>
          <w:i/>
          <w:iCs/>
        </w:rPr>
        <w:t>. и доп., вступ. в силу с 07.01.2021</w:t>
      </w:r>
      <w:r w:rsidR="00201640" w:rsidRPr="00886C4E">
        <w:rPr>
          <w:i/>
          <w:iCs/>
        </w:rPr>
        <w:t>)</w:t>
      </w:r>
      <w:r w:rsidR="00A43C4A" w:rsidRPr="00886C4E">
        <w:fldChar w:fldCharType="end"/>
      </w:r>
      <w:proofErr w:type="gramEnd"/>
    </w:p>
    <w:p w:rsidR="00201640" w:rsidRPr="00886C4E" w:rsidRDefault="00691442" w:rsidP="00474EE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886C4E">
        <w:t>Приказ Минэнерго России от 13.01.2003 N 6 (ред. от 13.09.2018) "Об утверждении Правил технической эксплуатации электроустановок потребителей"</w:t>
      </w:r>
    </w:p>
    <w:p w:rsidR="00086CFD" w:rsidRPr="00FD5AD0" w:rsidRDefault="00086CFD" w:rsidP="00086CFD">
      <w:pPr>
        <w:widowControl w:val="0"/>
        <w:autoSpaceDE w:val="0"/>
        <w:autoSpaceDN w:val="0"/>
        <w:adjustRightInd w:val="0"/>
        <w:ind w:firstLine="540"/>
        <w:jc w:val="both"/>
      </w:pPr>
    </w:p>
    <w:sectPr w:rsidR="00086CFD" w:rsidRPr="00FD5AD0" w:rsidSect="007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7DE"/>
    <w:multiLevelType w:val="hybridMultilevel"/>
    <w:tmpl w:val="07D84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59BE"/>
    <w:multiLevelType w:val="hybridMultilevel"/>
    <w:tmpl w:val="1BDE6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15793"/>
    <w:multiLevelType w:val="hybridMultilevel"/>
    <w:tmpl w:val="F2042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B1E3E"/>
    <w:multiLevelType w:val="hybridMultilevel"/>
    <w:tmpl w:val="180033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AD0"/>
    <w:rsid w:val="000541AC"/>
    <w:rsid w:val="00086CFD"/>
    <w:rsid w:val="000977C2"/>
    <w:rsid w:val="001A6EC8"/>
    <w:rsid w:val="001B02C5"/>
    <w:rsid w:val="00201640"/>
    <w:rsid w:val="00306C9B"/>
    <w:rsid w:val="00311FE3"/>
    <w:rsid w:val="003D11CC"/>
    <w:rsid w:val="00412CBA"/>
    <w:rsid w:val="00470925"/>
    <w:rsid w:val="00474EEC"/>
    <w:rsid w:val="004D669B"/>
    <w:rsid w:val="004E5AE8"/>
    <w:rsid w:val="00691442"/>
    <w:rsid w:val="006B535C"/>
    <w:rsid w:val="00732E86"/>
    <w:rsid w:val="00775481"/>
    <w:rsid w:val="00807504"/>
    <w:rsid w:val="0083790F"/>
    <w:rsid w:val="00886C4E"/>
    <w:rsid w:val="00894D04"/>
    <w:rsid w:val="00930AD0"/>
    <w:rsid w:val="00935A71"/>
    <w:rsid w:val="00995123"/>
    <w:rsid w:val="00A43C4A"/>
    <w:rsid w:val="00AF76C2"/>
    <w:rsid w:val="00B36431"/>
    <w:rsid w:val="00B45512"/>
    <w:rsid w:val="00BA2C3B"/>
    <w:rsid w:val="00C60C92"/>
    <w:rsid w:val="00C8650D"/>
    <w:rsid w:val="00D0652C"/>
    <w:rsid w:val="00DB29BF"/>
    <w:rsid w:val="00EA389E"/>
    <w:rsid w:val="00EC06DD"/>
    <w:rsid w:val="00EF073B"/>
    <w:rsid w:val="00F42E93"/>
    <w:rsid w:val="00F51FAC"/>
    <w:rsid w:val="00F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rFonts w:eastAsiaTheme="majorEastAsia" w:cstheme="majorBidi"/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Theme="majorEastAsia" w:hAnsi="Times New Roman" w:cstheme="majorBidi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paragraph" w:styleId="a9">
    <w:name w:val="List Paragraph"/>
    <w:basedOn w:val="a"/>
    <w:uiPriority w:val="34"/>
    <w:qFormat/>
    <w:rsid w:val="0008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Клюева</cp:lastModifiedBy>
  <cp:revision>3</cp:revision>
  <dcterms:created xsi:type="dcterms:W3CDTF">2014-12-04T21:21:00Z</dcterms:created>
  <dcterms:modified xsi:type="dcterms:W3CDTF">2021-02-10T10:25:00Z</dcterms:modified>
</cp:coreProperties>
</file>