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CD" w:rsidRPr="00CC049D" w:rsidRDefault="000B18CD" w:rsidP="000B18CD">
      <w:pPr>
        <w:spacing w:before="120"/>
        <w:jc w:val="center"/>
      </w:pPr>
      <w:r>
        <w:t>ПАСПОРТ УСЛУГИ</w:t>
      </w:r>
      <w:r w:rsidR="00C45A55">
        <w:t xml:space="preserve"> (ПРОЦЕССА) СЕТЕВОЙ ОРГАНИЗАЦИИ </w:t>
      </w:r>
      <w:r>
        <w:t>ЗАО «</w:t>
      </w:r>
      <w:proofErr w:type="gramStart"/>
      <w:r>
        <w:t>Пензенская</w:t>
      </w:r>
      <w:proofErr w:type="gramEnd"/>
      <w:r>
        <w:t xml:space="preserve"> </w:t>
      </w:r>
      <w:proofErr w:type="spellStart"/>
      <w:r w:rsidRPr="00CC049D">
        <w:t>горэлектросеть</w:t>
      </w:r>
      <w:proofErr w:type="spellEnd"/>
      <w:r w:rsidRPr="00CC049D">
        <w:t>»</w:t>
      </w:r>
    </w:p>
    <w:p w:rsidR="003A27B6" w:rsidRDefault="00502A89" w:rsidP="001436F5">
      <w:pPr>
        <w:spacing w:before="120"/>
        <w:jc w:val="center"/>
        <w:rPr>
          <w:u w:val="single"/>
        </w:rPr>
      </w:pPr>
      <w:r>
        <w:rPr>
          <w:u w:val="single"/>
        </w:rPr>
        <w:t>ДОПУСК В ЭКСПЛУАТАЦИЮ ПРИБОРА УЧЕТА</w:t>
      </w:r>
      <w:r w:rsidR="00CE4110">
        <w:rPr>
          <w:u w:val="single"/>
        </w:rPr>
        <w:t xml:space="preserve"> ЭЛЕКТРИЧЕСКОЙ ЭНЕРГИИ</w:t>
      </w:r>
    </w:p>
    <w:p w:rsidR="001436F5" w:rsidRPr="001436F5" w:rsidRDefault="001436F5" w:rsidP="00C30FB2">
      <w:pPr>
        <w:spacing w:after="120"/>
        <w:jc w:val="center"/>
      </w:pPr>
      <w:r>
        <w:t>наименование услуги (процесса)</w:t>
      </w:r>
    </w:p>
    <w:p w:rsidR="00D02FEB" w:rsidRDefault="009D3128" w:rsidP="00D02FEB">
      <w:pPr>
        <w:pStyle w:val="aa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Круг заявителей</w:t>
      </w:r>
      <w:r w:rsidR="00D02FEB" w:rsidRPr="00001B8D">
        <w:rPr>
          <w:b/>
          <w:sz w:val="24"/>
          <w:szCs w:val="24"/>
        </w:rPr>
        <w:t>:</w:t>
      </w:r>
      <w:r w:rsidR="00D02FEB" w:rsidRPr="00EB7E53">
        <w:rPr>
          <w:sz w:val="24"/>
          <w:szCs w:val="24"/>
        </w:rPr>
        <w:t xml:space="preserve"> </w:t>
      </w:r>
      <w:r w:rsidR="00C30FB2" w:rsidRPr="00EB7E53">
        <w:rPr>
          <w:sz w:val="24"/>
          <w:szCs w:val="24"/>
          <w:u w:val="single"/>
        </w:rPr>
        <w:t>физические лица, юридические лица</w:t>
      </w:r>
      <w:r w:rsidR="00C30FB2">
        <w:rPr>
          <w:sz w:val="24"/>
          <w:szCs w:val="24"/>
          <w:u w:val="single"/>
        </w:rPr>
        <w:t xml:space="preserve"> и индивидуальные предприниматели</w:t>
      </w:r>
      <w:r>
        <w:rPr>
          <w:sz w:val="24"/>
          <w:szCs w:val="24"/>
          <w:u w:val="single"/>
        </w:rPr>
        <w:t>.</w:t>
      </w:r>
    </w:p>
    <w:p w:rsidR="00D02FEB" w:rsidRPr="00C228DA" w:rsidRDefault="009D3128" w:rsidP="00D02FEB">
      <w:pPr>
        <w:autoSpaceDE w:val="0"/>
        <w:autoSpaceDN w:val="0"/>
        <w:adjustRightInd w:val="0"/>
        <w:rPr>
          <w:u w:val="single"/>
        </w:rPr>
      </w:pPr>
      <w:r w:rsidRPr="009D3128">
        <w:rPr>
          <w:b/>
        </w:rPr>
        <w:t>Размер платы за предоставление услуги (процесса) и основание ее взимания</w:t>
      </w:r>
      <w:r w:rsidR="00D02FEB" w:rsidRPr="0085396B">
        <w:rPr>
          <w:b/>
        </w:rPr>
        <w:t>:</w:t>
      </w:r>
      <w:r w:rsidR="00D02FEB" w:rsidRPr="00C228DA">
        <w:t xml:space="preserve"> </w:t>
      </w:r>
      <w:r w:rsidR="00D02FEB" w:rsidRPr="0085396B">
        <w:rPr>
          <w:u w:val="single"/>
        </w:rPr>
        <w:t>без взимания платы</w:t>
      </w:r>
      <w:r>
        <w:rPr>
          <w:u w:val="single"/>
        </w:rPr>
        <w:t>.</w:t>
      </w:r>
    </w:p>
    <w:p w:rsidR="00D02FEB" w:rsidRDefault="00D02FEB" w:rsidP="00D02FEB">
      <w:pPr>
        <w:autoSpaceDE w:val="0"/>
        <w:autoSpaceDN w:val="0"/>
        <w:adjustRightInd w:val="0"/>
        <w:rPr>
          <w:u w:val="single"/>
        </w:rPr>
      </w:pPr>
      <w:r w:rsidRPr="003D4662">
        <w:rPr>
          <w:b/>
        </w:rPr>
        <w:t>Условия оказания услуг (процесса):</w:t>
      </w:r>
      <w:r w:rsidRPr="003D4662">
        <w:t xml:space="preserve"> </w:t>
      </w:r>
      <w:r w:rsidR="00C30FB2" w:rsidRPr="0056256B">
        <w:rPr>
          <w:u w:val="single"/>
        </w:rPr>
        <w:t>наличие технологического присоединения потребителей электрической энергии</w:t>
      </w:r>
      <w:r w:rsidR="00C30FB2">
        <w:rPr>
          <w:u w:val="single"/>
        </w:rPr>
        <w:t>.</w:t>
      </w:r>
    </w:p>
    <w:p w:rsidR="009D3128" w:rsidRPr="009D3128" w:rsidRDefault="009D3128" w:rsidP="00D02FEB">
      <w:pPr>
        <w:autoSpaceDE w:val="0"/>
        <w:autoSpaceDN w:val="0"/>
        <w:adjustRightInd w:val="0"/>
        <w:rPr>
          <w:u w:val="single"/>
        </w:rPr>
      </w:pPr>
      <w:r w:rsidRPr="0040325F">
        <w:rPr>
          <w:b/>
        </w:rPr>
        <w:t>Общий срок оказания услуги (процесса):</w:t>
      </w:r>
      <w:r w:rsidRPr="0040325F">
        <w:t xml:space="preserve"> </w:t>
      </w:r>
      <w:r w:rsidR="00C30FB2" w:rsidRPr="0040325F">
        <w:rPr>
          <w:u w:val="single"/>
        </w:rPr>
        <w:t xml:space="preserve">не позднее </w:t>
      </w:r>
      <w:r w:rsidR="0040325F" w:rsidRPr="0040325F">
        <w:rPr>
          <w:u w:val="single"/>
        </w:rPr>
        <w:t>30</w:t>
      </w:r>
      <w:r w:rsidR="00C30FB2" w:rsidRPr="0040325F">
        <w:rPr>
          <w:u w:val="single"/>
        </w:rPr>
        <w:t xml:space="preserve"> рабочих дней со дня </w:t>
      </w:r>
      <w:r w:rsidR="0040325F" w:rsidRPr="0040325F">
        <w:rPr>
          <w:u w:val="single"/>
        </w:rPr>
        <w:t>направления заявки</w:t>
      </w:r>
      <w:r w:rsidR="00C30FB2">
        <w:rPr>
          <w:u w:val="single"/>
        </w:rPr>
        <w:t>.</w:t>
      </w:r>
    </w:p>
    <w:p w:rsidR="00D02FEB" w:rsidRDefault="009D3128" w:rsidP="00C30FB2">
      <w:pPr>
        <w:autoSpaceDE w:val="0"/>
        <w:autoSpaceDN w:val="0"/>
        <w:adjustRightInd w:val="0"/>
        <w:spacing w:before="60" w:after="60"/>
        <w:rPr>
          <w:b/>
          <w:bCs/>
        </w:rPr>
      </w:pPr>
      <w:r>
        <w:t>Состав, последовательность и сроки оказания услуги (процесса)</w:t>
      </w:r>
      <w:r w:rsidR="00D02FEB" w:rsidRPr="00001B8D">
        <w:rPr>
          <w:b/>
          <w:bCs/>
        </w:rPr>
        <w:t>: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5812"/>
        <w:gridCol w:w="2268"/>
        <w:gridCol w:w="2268"/>
        <w:gridCol w:w="3577"/>
      </w:tblGrid>
      <w:tr w:rsidR="002C0218" w:rsidRPr="00251D99" w:rsidTr="000E3DF6">
        <w:tc>
          <w:tcPr>
            <w:tcW w:w="392" w:type="dxa"/>
          </w:tcPr>
          <w:p w:rsidR="00C30FB2" w:rsidRPr="00251D99" w:rsidRDefault="00C30FB2" w:rsidP="00251D99">
            <w:pPr>
              <w:jc w:val="center"/>
              <w:rPr>
                <w:sz w:val="20"/>
                <w:szCs w:val="20"/>
              </w:rPr>
            </w:pPr>
            <w:r w:rsidRPr="00251D99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C30FB2" w:rsidRPr="00251D99" w:rsidRDefault="00C30FB2" w:rsidP="00251D99">
            <w:pPr>
              <w:jc w:val="center"/>
              <w:rPr>
                <w:sz w:val="20"/>
                <w:szCs w:val="20"/>
              </w:rPr>
            </w:pPr>
            <w:r w:rsidRPr="00251D99">
              <w:rPr>
                <w:sz w:val="20"/>
                <w:szCs w:val="20"/>
              </w:rPr>
              <w:t>Этап</w:t>
            </w:r>
          </w:p>
        </w:tc>
        <w:tc>
          <w:tcPr>
            <w:tcW w:w="5812" w:type="dxa"/>
          </w:tcPr>
          <w:p w:rsidR="00C30FB2" w:rsidRPr="00251D99" w:rsidRDefault="00C30FB2" w:rsidP="00251D99">
            <w:pPr>
              <w:jc w:val="center"/>
              <w:rPr>
                <w:sz w:val="20"/>
                <w:szCs w:val="20"/>
              </w:rPr>
            </w:pPr>
            <w:r w:rsidRPr="00251D99">
              <w:rPr>
                <w:sz w:val="20"/>
                <w:szCs w:val="20"/>
              </w:rPr>
              <w:t>Содержание/условие этапа</w:t>
            </w:r>
          </w:p>
        </w:tc>
        <w:tc>
          <w:tcPr>
            <w:tcW w:w="2268" w:type="dxa"/>
          </w:tcPr>
          <w:p w:rsidR="00C30FB2" w:rsidRPr="00251D99" w:rsidRDefault="00C30FB2" w:rsidP="005D032D">
            <w:pPr>
              <w:jc w:val="center"/>
              <w:rPr>
                <w:sz w:val="20"/>
                <w:szCs w:val="20"/>
              </w:rPr>
            </w:pPr>
            <w:r w:rsidRPr="00251D99"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2268" w:type="dxa"/>
          </w:tcPr>
          <w:p w:rsidR="00C30FB2" w:rsidRPr="00251D99" w:rsidRDefault="00C30FB2" w:rsidP="00251D99">
            <w:pPr>
              <w:jc w:val="center"/>
              <w:rPr>
                <w:sz w:val="20"/>
                <w:szCs w:val="20"/>
              </w:rPr>
            </w:pPr>
            <w:r w:rsidRPr="00251D9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577" w:type="dxa"/>
          </w:tcPr>
          <w:p w:rsidR="00C30FB2" w:rsidRPr="00251D99" w:rsidRDefault="00C30FB2" w:rsidP="00251D99">
            <w:pPr>
              <w:jc w:val="center"/>
              <w:rPr>
                <w:sz w:val="20"/>
                <w:szCs w:val="20"/>
              </w:rPr>
            </w:pPr>
            <w:r w:rsidRPr="00251D99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E25416" w:rsidRPr="00251D99" w:rsidTr="000E3DF6">
        <w:tc>
          <w:tcPr>
            <w:tcW w:w="392" w:type="dxa"/>
          </w:tcPr>
          <w:p w:rsidR="00E25416" w:rsidRPr="00251D99" w:rsidRDefault="00E25416" w:rsidP="00251D99">
            <w:pPr>
              <w:jc w:val="center"/>
              <w:rPr>
                <w:sz w:val="20"/>
                <w:szCs w:val="20"/>
              </w:rPr>
            </w:pPr>
            <w:r w:rsidRPr="00251D9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25416" w:rsidRPr="00251D99" w:rsidRDefault="00E25416" w:rsidP="0025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D99" w:rsidRPr="00251D99" w:rsidRDefault="00251D99" w:rsidP="00251D99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251D99">
              <w:rPr>
                <w:sz w:val="20"/>
                <w:szCs w:val="20"/>
              </w:rPr>
              <w:t>Процедура допуска к эксплуатации прибора учета не требуется, в случае если в рамках процедуры установки (замены) прибора учета или смены собственника прибора учета сохраняются контрольные пломбы и знаки визуального контроля, установленные ранее при допуске к эксплуатации соответствующего прибора учета.</w:t>
            </w:r>
          </w:p>
          <w:p w:rsidR="00251D99" w:rsidRPr="00251D99" w:rsidRDefault="00251D99" w:rsidP="00251D99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proofErr w:type="gramStart"/>
            <w:r w:rsidRPr="00251D99">
              <w:rPr>
                <w:sz w:val="20"/>
                <w:szCs w:val="20"/>
              </w:rPr>
              <w:t xml:space="preserve">При технологическом присоединении </w:t>
            </w:r>
            <w:proofErr w:type="spellStart"/>
            <w:r w:rsidRPr="00251D99">
              <w:rPr>
                <w:sz w:val="20"/>
                <w:szCs w:val="20"/>
              </w:rPr>
              <w:t>энергопринимающих</w:t>
            </w:r>
            <w:proofErr w:type="spellEnd"/>
            <w:r w:rsidRPr="00251D99">
              <w:rPr>
                <w:sz w:val="20"/>
                <w:szCs w:val="20"/>
              </w:rPr>
              <w:t xml:space="preserve"> устройств потребителей, объектов по производству электрической энергии, а также объектов </w:t>
            </w:r>
            <w:proofErr w:type="spellStart"/>
            <w:r w:rsidRPr="00251D99">
              <w:rPr>
                <w:sz w:val="20"/>
                <w:szCs w:val="20"/>
              </w:rPr>
              <w:t>электросетевого</w:t>
            </w:r>
            <w:proofErr w:type="spellEnd"/>
            <w:r w:rsidRPr="00251D99">
              <w:rPr>
                <w:sz w:val="20"/>
                <w:szCs w:val="20"/>
              </w:rPr>
              <w:t xml:space="preserve"> хозяйства, принадлежащих сетевым организациям и иным лицам, к электрическим сетям допуск к эксплуатации приборов учета электрической энергии, установленных в процессе технологического присоединения, осуществляется сетевой организацией, а коллективные (</w:t>
            </w:r>
            <w:proofErr w:type="spellStart"/>
            <w:r w:rsidRPr="00251D99">
              <w:rPr>
                <w:sz w:val="20"/>
                <w:szCs w:val="20"/>
              </w:rPr>
              <w:t>общедомовые</w:t>
            </w:r>
            <w:proofErr w:type="spellEnd"/>
            <w:r w:rsidRPr="00251D99">
              <w:rPr>
                <w:sz w:val="20"/>
                <w:szCs w:val="20"/>
              </w:rPr>
              <w:t>) приборы учета электрической энергии - гарантирующим поставщиком одновременно с осмотром присоединяемых электроустановок заявителя.</w:t>
            </w:r>
            <w:proofErr w:type="gramEnd"/>
          </w:p>
          <w:p w:rsidR="00E25416" w:rsidRPr="00251D99" w:rsidRDefault="00E25416" w:rsidP="00502A89">
            <w:pPr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5416" w:rsidRPr="00251D99" w:rsidRDefault="00E25416" w:rsidP="005D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5416" w:rsidRPr="00251D99" w:rsidRDefault="00251D99" w:rsidP="00251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указанный в технических условиях</w:t>
            </w:r>
          </w:p>
        </w:tc>
        <w:tc>
          <w:tcPr>
            <w:tcW w:w="3577" w:type="dxa"/>
          </w:tcPr>
          <w:p w:rsidR="00E25416" w:rsidRPr="00251D99" w:rsidRDefault="00E25416" w:rsidP="00502A89">
            <w:pPr>
              <w:pStyle w:val="ConsPlusNormal"/>
            </w:pPr>
            <w:r w:rsidRPr="00251D99">
              <w:rPr>
                <w:rFonts w:ascii="Times New Roman" w:hAnsi="Times New Roman" w:cs="Times New Roman"/>
              </w:rPr>
              <w:t>п. 1</w:t>
            </w:r>
            <w:r w:rsidR="00502A89" w:rsidRPr="00251D99">
              <w:rPr>
                <w:rFonts w:ascii="Times New Roman" w:hAnsi="Times New Roman" w:cs="Times New Roman"/>
              </w:rPr>
              <w:t>53</w:t>
            </w:r>
            <w:r w:rsidRPr="00251D99">
              <w:rPr>
                <w:rFonts w:ascii="Times New Roman" w:hAnsi="Times New Roman" w:cs="Times New Roman"/>
              </w:rPr>
              <w:t xml:space="preserve"> «Основных положений функционирования розничных рынков электрической энергии», утв. постановлением Правительства РФ от 4 мая 2012 г. № 442</w:t>
            </w:r>
            <w:r w:rsidR="00251D99" w:rsidRPr="00251D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251D99" w:rsidRPr="00251D99"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 w:rsidR="00251D99" w:rsidRPr="00251D99">
              <w:rPr>
                <w:rFonts w:ascii="Times New Roman" w:hAnsi="Times New Roman" w:cs="Times New Roman"/>
              </w:rPr>
              <w:t xml:space="preserve"> от 29.12.2021г.)</w:t>
            </w:r>
            <w:r w:rsidRPr="00251D99">
              <w:rPr>
                <w:rFonts w:ascii="Times New Roman" w:hAnsi="Times New Roman" w:cs="Times New Roman"/>
              </w:rPr>
              <w:t>.</w:t>
            </w:r>
          </w:p>
        </w:tc>
      </w:tr>
      <w:tr w:rsidR="00665DBF" w:rsidRPr="00251D99" w:rsidTr="000E3DF6">
        <w:tc>
          <w:tcPr>
            <w:tcW w:w="392" w:type="dxa"/>
          </w:tcPr>
          <w:p w:rsidR="00665DBF" w:rsidRPr="00251D99" w:rsidRDefault="00665DBF" w:rsidP="0025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5DBF" w:rsidRPr="00251D99" w:rsidRDefault="00665DBF" w:rsidP="00251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пломб</w:t>
            </w:r>
          </w:p>
        </w:tc>
        <w:tc>
          <w:tcPr>
            <w:tcW w:w="5812" w:type="dxa"/>
          </w:tcPr>
          <w:p w:rsidR="00665DBF" w:rsidRDefault="00665DBF" w:rsidP="00665DB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допуска в эксплуатацию прибора учета в местах и способом, которые определены в соответствии с законодательством Российской Федерации об обеспечении единства измерений и о техническом регулировании, подлежит установке контрольная одноразовая номерная пломба (далее - контрольная пломба) и (или) знаки визуального контроля.</w:t>
            </w:r>
          </w:p>
          <w:p w:rsidR="00665DBF" w:rsidRPr="00251D99" w:rsidRDefault="00665DBF" w:rsidP="00251D9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5DBF" w:rsidRPr="00251D99" w:rsidRDefault="00665DBF" w:rsidP="005D032D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5DBF" w:rsidRPr="00251D99" w:rsidRDefault="00665DBF" w:rsidP="00C30FB2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665DBF" w:rsidRPr="00251D99" w:rsidRDefault="00665DBF" w:rsidP="00FA04B7">
            <w:pPr>
              <w:pStyle w:val="ConsPlusNormal"/>
            </w:pPr>
            <w:r w:rsidRPr="00251D99">
              <w:rPr>
                <w:rFonts w:ascii="Times New Roman" w:hAnsi="Times New Roman" w:cs="Times New Roman"/>
              </w:rPr>
              <w:t>п. 153 «Основных положений функционирования розничных рынков электрической энергии», утв. постановлением Правительства РФ от 4 мая 2012 г. № 442 (</w:t>
            </w:r>
            <w:proofErr w:type="spellStart"/>
            <w:proofErr w:type="gramStart"/>
            <w:r w:rsidRPr="00251D99"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 w:rsidRPr="00251D99">
              <w:rPr>
                <w:rFonts w:ascii="Times New Roman" w:hAnsi="Times New Roman" w:cs="Times New Roman"/>
              </w:rPr>
              <w:t xml:space="preserve"> от 29.12.2021г.).</w:t>
            </w:r>
          </w:p>
        </w:tc>
      </w:tr>
      <w:tr w:rsidR="00665DBF" w:rsidRPr="00251D99" w:rsidTr="000E3DF6">
        <w:tc>
          <w:tcPr>
            <w:tcW w:w="392" w:type="dxa"/>
          </w:tcPr>
          <w:p w:rsidR="00665DBF" w:rsidRPr="00251D99" w:rsidRDefault="00665DBF" w:rsidP="0025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5DBF" w:rsidRDefault="00665DBF" w:rsidP="00251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Акта допуска прибора учета</w:t>
            </w:r>
          </w:p>
        </w:tc>
        <w:tc>
          <w:tcPr>
            <w:tcW w:w="5812" w:type="dxa"/>
          </w:tcPr>
          <w:p w:rsidR="00665DBF" w:rsidRPr="00665DBF" w:rsidRDefault="00665DBF" w:rsidP="00665DB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допуска прибора учета электрической энергии в эксплуатацию составляется в количестве экземпляров, равном числу приглашенных лиц, и подписывается уполномоченными </w:t>
            </w:r>
            <w:r>
              <w:rPr>
                <w:sz w:val="20"/>
                <w:szCs w:val="20"/>
              </w:rPr>
              <w:lastRenderedPageBreak/>
              <w:t xml:space="preserve">представителями приглашенных лиц, которые приняли участие в процедуре допуска прибора учета в эксплуатацию. При отказе уполномоченного представителя приглашенного лица от подписания составленного акта в нем делается соответствующая отметка. Отказ уполномоченного представителя приглашенного лица от подписания составленного акта не является основанием для </w:t>
            </w:r>
            <w:proofErr w:type="spellStart"/>
            <w:r>
              <w:rPr>
                <w:sz w:val="20"/>
                <w:szCs w:val="20"/>
              </w:rPr>
              <w:t>недопуска</w:t>
            </w:r>
            <w:proofErr w:type="spellEnd"/>
            <w:r>
              <w:rPr>
                <w:sz w:val="20"/>
                <w:szCs w:val="20"/>
              </w:rPr>
              <w:t xml:space="preserve"> прибора учета в эксплуатацию.</w:t>
            </w:r>
          </w:p>
        </w:tc>
        <w:tc>
          <w:tcPr>
            <w:tcW w:w="2268" w:type="dxa"/>
          </w:tcPr>
          <w:p w:rsidR="00665DBF" w:rsidRPr="00251D99" w:rsidRDefault="00665DBF" w:rsidP="005D032D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tcW w:w="2268" w:type="dxa"/>
          </w:tcPr>
          <w:p w:rsidR="00665DBF" w:rsidRDefault="00665DBF" w:rsidP="00665D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 рабочих дней со дня проведения такой процедуры </w:t>
            </w:r>
            <w:r>
              <w:rPr>
                <w:sz w:val="20"/>
                <w:szCs w:val="20"/>
              </w:rPr>
              <w:lastRenderedPageBreak/>
              <w:t>направить копии такого акта лицам, не явившимся для участия в процедуре допуска прибора учета в эксплуатацию</w:t>
            </w:r>
          </w:p>
          <w:p w:rsidR="00665DBF" w:rsidRPr="00251D99" w:rsidRDefault="00665DBF" w:rsidP="00C30FB2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665DBF" w:rsidRPr="00251D99" w:rsidRDefault="00665DBF" w:rsidP="00FA04B7">
            <w:pPr>
              <w:pStyle w:val="ConsPlusNormal"/>
            </w:pPr>
            <w:r w:rsidRPr="00251D99">
              <w:rPr>
                <w:rFonts w:ascii="Times New Roman" w:hAnsi="Times New Roman" w:cs="Times New Roman"/>
              </w:rPr>
              <w:lastRenderedPageBreak/>
              <w:t xml:space="preserve">п. 153 «Основных положений функционирования розничных рынков электрической энергии», утв. </w:t>
            </w:r>
            <w:r w:rsidRPr="00251D99">
              <w:rPr>
                <w:rFonts w:ascii="Times New Roman" w:hAnsi="Times New Roman" w:cs="Times New Roman"/>
              </w:rPr>
              <w:lastRenderedPageBreak/>
              <w:t>постановлением Правительства РФ от 4 мая 2012 г. № 442 (</w:t>
            </w:r>
            <w:proofErr w:type="spellStart"/>
            <w:proofErr w:type="gramStart"/>
            <w:r w:rsidRPr="00251D99"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 w:rsidRPr="00251D99">
              <w:rPr>
                <w:rFonts w:ascii="Times New Roman" w:hAnsi="Times New Roman" w:cs="Times New Roman"/>
              </w:rPr>
              <w:t xml:space="preserve"> от 29.12.2021г.).</w:t>
            </w:r>
          </w:p>
        </w:tc>
      </w:tr>
    </w:tbl>
    <w:p w:rsidR="00BF2CF3" w:rsidRDefault="00BF2CF3" w:rsidP="00251D99">
      <w:pPr>
        <w:spacing w:before="120"/>
      </w:pPr>
      <w:bookmarkStart w:id="0" w:name="_GoBack"/>
      <w:bookmarkEnd w:id="0"/>
    </w:p>
    <w:sectPr w:rsidR="00BF2CF3" w:rsidSect="00BF2CF3">
      <w:pgSz w:w="16838" w:h="11906" w:orient="landscape"/>
      <w:pgMar w:top="680" w:right="567" w:bottom="170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18CD"/>
    <w:rsid w:val="000411CF"/>
    <w:rsid w:val="000541AC"/>
    <w:rsid w:val="00090975"/>
    <w:rsid w:val="00094A39"/>
    <w:rsid w:val="000977C2"/>
    <w:rsid w:val="000B18CD"/>
    <w:rsid w:val="000E3DF6"/>
    <w:rsid w:val="00131910"/>
    <w:rsid w:val="001436F5"/>
    <w:rsid w:val="001A35B7"/>
    <w:rsid w:val="001A6EC8"/>
    <w:rsid w:val="001B02C5"/>
    <w:rsid w:val="001C2B35"/>
    <w:rsid w:val="00242305"/>
    <w:rsid w:val="00251D99"/>
    <w:rsid w:val="00256480"/>
    <w:rsid w:val="002C0218"/>
    <w:rsid w:val="00306C9B"/>
    <w:rsid w:val="00337BAC"/>
    <w:rsid w:val="003A27B6"/>
    <w:rsid w:val="003C0254"/>
    <w:rsid w:val="003D11CC"/>
    <w:rsid w:val="0040325F"/>
    <w:rsid w:val="00412CBA"/>
    <w:rsid w:val="00470925"/>
    <w:rsid w:val="004D669B"/>
    <w:rsid w:val="004E5AE8"/>
    <w:rsid w:val="00502A89"/>
    <w:rsid w:val="00506388"/>
    <w:rsid w:val="005A6747"/>
    <w:rsid w:val="005D032D"/>
    <w:rsid w:val="00610FB2"/>
    <w:rsid w:val="00665DBF"/>
    <w:rsid w:val="006B535C"/>
    <w:rsid w:val="00732E86"/>
    <w:rsid w:val="00775481"/>
    <w:rsid w:val="0078383B"/>
    <w:rsid w:val="00807504"/>
    <w:rsid w:val="0083790F"/>
    <w:rsid w:val="0089007B"/>
    <w:rsid w:val="00893D73"/>
    <w:rsid w:val="00894D04"/>
    <w:rsid w:val="00931A64"/>
    <w:rsid w:val="00935A71"/>
    <w:rsid w:val="00960A51"/>
    <w:rsid w:val="00995123"/>
    <w:rsid w:val="009D3128"/>
    <w:rsid w:val="00AA329C"/>
    <w:rsid w:val="00AD464E"/>
    <w:rsid w:val="00AF76C2"/>
    <w:rsid w:val="00B36431"/>
    <w:rsid w:val="00B45512"/>
    <w:rsid w:val="00BA2C3B"/>
    <w:rsid w:val="00BF2CF3"/>
    <w:rsid w:val="00C30FB2"/>
    <w:rsid w:val="00C45A55"/>
    <w:rsid w:val="00C60C92"/>
    <w:rsid w:val="00CC049D"/>
    <w:rsid w:val="00CD4168"/>
    <w:rsid w:val="00CE4110"/>
    <w:rsid w:val="00D02FEB"/>
    <w:rsid w:val="00DB29BF"/>
    <w:rsid w:val="00DF11CB"/>
    <w:rsid w:val="00E03FA9"/>
    <w:rsid w:val="00E141B7"/>
    <w:rsid w:val="00E25416"/>
    <w:rsid w:val="00EA389E"/>
    <w:rsid w:val="00EF073B"/>
    <w:rsid w:val="00F42E93"/>
    <w:rsid w:val="00F5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9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95123"/>
    <w:pPr>
      <w:keepNext/>
      <w:keepLines/>
      <w:spacing w:before="240" w:line="276" w:lineRule="auto"/>
      <w:ind w:firstLine="851"/>
      <w:jc w:val="both"/>
      <w:outlineLvl w:val="0"/>
    </w:pPr>
    <w:rPr>
      <w:sz w:val="20"/>
      <w:szCs w:val="32"/>
    </w:rPr>
  </w:style>
  <w:style w:type="paragraph" w:styleId="2">
    <w:name w:val="heading 2"/>
    <w:basedOn w:val="a"/>
    <w:next w:val="a"/>
    <w:link w:val="20"/>
    <w:qFormat/>
    <w:rsid w:val="00306C9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6C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06C9B"/>
    <w:pPr>
      <w:keepNext/>
      <w:spacing w:line="360" w:lineRule="auto"/>
      <w:ind w:firstLine="360"/>
      <w:outlineLvl w:val="3"/>
    </w:pPr>
    <w:rPr>
      <w:i/>
      <w:iCs/>
      <w:sz w:val="28"/>
      <w:lang w:val="en-US"/>
    </w:rPr>
  </w:style>
  <w:style w:type="paragraph" w:styleId="5">
    <w:name w:val="heading 5"/>
    <w:basedOn w:val="a"/>
    <w:next w:val="a"/>
    <w:link w:val="50"/>
    <w:qFormat/>
    <w:rsid w:val="00306C9B"/>
    <w:pPr>
      <w:keepNext/>
      <w:spacing w:line="360" w:lineRule="auto"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06C9B"/>
    <w:pPr>
      <w:keepNext/>
      <w:spacing w:line="360" w:lineRule="auto"/>
      <w:ind w:firstLine="54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06C9B"/>
    <w:pPr>
      <w:keepNext/>
      <w:jc w:val="center"/>
      <w:outlineLvl w:val="6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123"/>
    <w:rPr>
      <w:rFonts w:ascii="Times New Roman" w:eastAsia="Times New Roman" w:hAnsi="Times New Roman" w:cs="Times New Roman"/>
      <w:szCs w:val="32"/>
    </w:rPr>
  </w:style>
  <w:style w:type="character" w:customStyle="1" w:styleId="20">
    <w:name w:val="Заголовок 2 Знак"/>
    <w:basedOn w:val="a0"/>
    <w:link w:val="2"/>
    <w:rsid w:val="00306C9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06C9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06C9B"/>
    <w:rPr>
      <w:i/>
      <w:iCs/>
      <w:sz w:val="28"/>
      <w:szCs w:val="24"/>
      <w:lang w:val="en-US"/>
    </w:rPr>
  </w:style>
  <w:style w:type="character" w:customStyle="1" w:styleId="50">
    <w:name w:val="Заголовок 5 Знак"/>
    <w:basedOn w:val="a0"/>
    <w:link w:val="5"/>
    <w:rsid w:val="00306C9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06C9B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306C9B"/>
    <w:rPr>
      <w:i/>
      <w:iCs/>
      <w:sz w:val="24"/>
      <w:szCs w:val="24"/>
      <w:lang w:val="en-US"/>
    </w:rPr>
  </w:style>
  <w:style w:type="paragraph" w:styleId="a3">
    <w:name w:val="caption"/>
    <w:basedOn w:val="a"/>
    <w:next w:val="a"/>
    <w:qFormat/>
    <w:rsid w:val="00306C9B"/>
    <w:rPr>
      <w:sz w:val="28"/>
    </w:rPr>
  </w:style>
  <w:style w:type="paragraph" w:styleId="a4">
    <w:name w:val="Title"/>
    <w:basedOn w:val="a"/>
    <w:link w:val="a5"/>
    <w:qFormat/>
    <w:rsid w:val="00306C9B"/>
    <w:pPr>
      <w:spacing w:after="36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06C9B"/>
    <w:rPr>
      <w:sz w:val="28"/>
      <w:szCs w:val="24"/>
    </w:rPr>
  </w:style>
  <w:style w:type="paragraph" w:styleId="a6">
    <w:name w:val="Subtitle"/>
    <w:basedOn w:val="a"/>
    <w:link w:val="a7"/>
    <w:qFormat/>
    <w:rsid w:val="00306C9B"/>
    <w:pPr>
      <w:ind w:left="720" w:firstLine="720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306C9B"/>
    <w:rPr>
      <w:sz w:val="32"/>
    </w:rPr>
  </w:style>
  <w:style w:type="character" w:styleId="a8">
    <w:name w:val="Hyperlink"/>
    <w:basedOn w:val="a0"/>
    <w:uiPriority w:val="99"/>
    <w:rsid w:val="00732E86"/>
    <w:rPr>
      <w:rFonts w:ascii="Times New Roman" w:hAnsi="Times New Roman" w:cs="Tahoma" w:hint="default"/>
      <w:strike w:val="0"/>
      <w:dstrike w:val="0"/>
      <w:color w:val="0066FF"/>
      <w:sz w:val="28"/>
      <w:szCs w:val="17"/>
      <w:u w:val="none"/>
      <w:effect w:val="none"/>
    </w:rPr>
  </w:style>
  <w:style w:type="table" w:styleId="a9">
    <w:name w:val="Table Grid"/>
    <w:basedOn w:val="a1"/>
    <w:uiPriority w:val="59"/>
    <w:rsid w:val="00C4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Главный"/>
    <w:basedOn w:val="a"/>
    <w:link w:val="ab"/>
    <w:rsid w:val="00D02FEB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basedOn w:val="a0"/>
    <w:link w:val="aa"/>
    <w:rsid w:val="00D02FEB"/>
    <w:rPr>
      <w:rFonts w:ascii="TimesNewRoman" w:hAnsi="TimesNewRoman" w:cs="TimesNewRoman"/>
      <w:color w:val="000000"/>
      <w:sz w:val="28"/>
      <w:szCs w:val="28"/>
    </w:rPr>
  </w:style>
  <w:style w:type="paragraph" w:customStyle="1" w:styleId="ConsPlusNormal">
    <w:name w:val="ConsPlusNormal"/>
    <w:rsid w:val="00C30F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Максаков</dc:creator>
  <cp:lastModifiedBy>Кайманова Наталья Владимировна</cp:lastModifiedBy>
  <cp:revision>2</cp:revision>
  <cp:lastPrinted>2021-02-05T10:58:00Z</cp:lastPrinted>
  <dcterms:created xsi:type="dcterms:W3CDTF">2021-02-09T06:06:00Z</dcterms:created>
  <dcterms:modified xsi:type="dcterms:W3CDTF">2021-02-09T06:06:00Z</dcterms:modified>
</cp:coreProperties>
</file>