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6C6325">
        <w:rPr>
          <w:rFonts w:ascii="Times New Roman" w:hAnsi="Times New Roman"/>
          <w:b/>
          <w:sz w:val="20"/>
          <w:szCs w:val="20"/>
        </w:rPr>
        <w:t>4</w:t>
      </w:r>
      <w:r w:rsidR="00B41A5E">
        <w:rPr>
          <w:rFonts w:ascii="Times New Roman" w:hAnsi="Times New Roman"/>
          <w:b/>
          <w:sz w:val="20"/>
          <w:szCs w:val="20"/>
        </w:rPr>
        <w:t>9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6C6325">
        <w:rPr>
          <w:rFonts w:ascii="Times New Roman" w:hAnsi="Times New Roman"/>
          <w:b/>
          <w:sz w:val="20"/>
          <w:szCs w:val="20"/>
        </w:rPr>
        <w:t>2</w:t>
      </w:r>
      <w:r w:rsidR="00F61997">
        <w:rPr>
          <w:rFonts w:ascii="Times New Roman" w:hAnsi="Times New Roman"/>
          <w:b/>
          <w:sz w:val="20"/>
          <w:szCs w:val="20"/>
        </w:rPr>
        <w:t>9</w:t>
      </w:r>
      <w:r w:rsidR="001862D2">
        <w:rPr>
          <w:rFonts w:ascii="Times New Roman" w:hAnsi="Times New Roman"/>
          <w:b/>
          <w:sz w:val="20"/>
          <w:szCs w:val="20"/>
        </w:rPr>
        <w:t>.0</w:t>
      </w:r>
      <w:r w:rsidR="00B41A5E">
        <w:rPr>
          <w:rFonts w:ascii="Times New Roman" w:hAnsi="Times New Roman"/>
          <w:b/>
          <w:sz w:val="20"/>
          <w:szCs w:val="20"/>
        </w:rPr>
        <w:t>4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9107E2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9107E2" w:rsidRPr="00F25FF1">
        <w:rPr>
          <w:rFonts w:ascii="Times New Roman" w:hAnsi="Times New Roman"/>
          <w:sz w:val="20"/>
          <w:szCs w:val="20"/>
        </w:rPr>
      </w:r>
      <w:r w:rsidR="009107E2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9107E2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9107E2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9107E2" w:rsidRPr="00F25FF1">
        <w:rPr>
          <w:rFonts w:ascii="Times New Roman" w:hAnsi="Times New Roman"/>
          <w:sz w:val="20"/>
          <w:szCs w:val="20"/>
        </w:rPr>
      </w:r>
      <w:r w:rsidR="009107E2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9107E2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 w:rsidRPr="00AA5278">
        <w:rPr>
          <w:rFonts w:ascii="Times New Roman" w:eastAsia="Times New Roman" w:hAnsi="Times New Roman"/>
          <w:bCs/>
          <w:sz w:val="20"/>
          <w:szCs w:val="20"/>
          <w:lang w:eastAsia="ru-RU"/>
        </w:rPr>
        <w:t>силовые трансформаторы ТМГ.</w:t>
      </w:r>
    </w:p>
    <w:p w:rsidR="00CA7EE8" w:rsidRPr="006C6325" w:rsidRDefault="00CA7EE8" w:rsidP="006007CD">
      <w:pPr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="001E1B9A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AA5278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C6325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6C632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 w:rsidR="00B41A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ТМГ-630</w:t>
            </w:r>
            <w:r w:rsidR="006C63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/10-12 УХЛ1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>н-11</w:t>
            </w:r>
            <w:proofErr w:type="gramStart"/>
            <w:r w:rsidRPr="001862D2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="00B41A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D23DE0" w:rsidRDefault="001E1B9A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E0">
              <w:rPr>
                <w:rFonts w:ascii="Times New Roman" w:hAnsi="Times New Roman"/>
                <w:b/>
                <w:sz w:val="20"/>
                <w:szCs w:val="20"/>
              </w:rPr>
              <w:t>434 850,00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6C6325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</w:t>
      </w:r>
      <w:r w:rsidR="00475633" w:rsidRPr="00806985">
        <w:rPr>
          <w:rFonts w:ascii="Times New Roman" w:hAnsi="Times New Roman" w:cs="Times New Roman"/>
          <w:b/>
          <w:sz w:val="20"/>
          <w:szCs w:val="20"/>
        </w:rPr>
        <w:t>:</w:t>
      </w:r>
      <w:r w:rsidR="00880D14" w:rsidRPr="008069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325" w:rsidRPr="006C6325">
        <w:rPr>
          <w:rFonts w:ascii="Times New Roman" w:hAnsi="Times New Roman" w:cs="Times New Roman"/>
          <w:b/>
          <w:i/>
          <w:sz w:val="20"/>
          <w:szCs w:val="20"/>
        </w:rPr>
        <w:t>434 850,00</w:t>
      </w:r>
      <w:r w:rsidR="003D47A4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6C6325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6C6325" w:rsidRPr="006C6325">
        <w:rPr>
          <w:rFonts w:ascii="Times New Roman" w:hAnsi="Times New Roman" w:cs="Times New Roman"/>
          <w:b/>
          <w:i/>
          <w:sz w:val="20"/>
          <w:szCs w:val="20"/>
        </w:rPr>
        <w:t>362 375,00</w:t>
      </w:r>
      <w:r w:rsidR="00010387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6C6325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6C6325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9107E2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9107E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25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80698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8C3BE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783D4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D4C49" w:rsidRPr="000D4C49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D4C49" w:rsidRPr="000D4C49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D4C49" w:rsidRPr="000D4C49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D4C49" w:rsidRPr="000D4C49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D4C49" w:rsidRPr="000D4C49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D4C49" w:rsidRPr="000D4C49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D4C49" w:rsidRPr="000D4C49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D4C49" w:rsidRPr="000D4C49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D4C49" w:rsidRPr="000D4C49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D4C49" w:rsidRPr="000D4C49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D4C49" w:rsidRPr="000D4C49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D4C49" w:rsidRPr="000D4C49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D4C49" w:rsidRPr="000D4C49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D4C49" w:rsidRPr="000D4C49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D4C49" w:rsidRPr="000D4C49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D4C49" w:rsidRPr="000D4C49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D4C49" w:rsidRPr="000D4C49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D4C49" w:rsidRPr="000D4C49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0D4C49" w:rsidRPr="000D4C49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251BD1" w:rsidRPr="00363D58" w:rsidRDefault="00251BD1" w:rsidP="00251BD1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D4C49" w:rsidRPr="000D4C49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D4C49" w:rsidRPr="000D4C49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D4C49" w:rsidRPr="000D4C49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0D4C49" w:rsidRPr="000D4C49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D4C49" w:rsidRPr="000D4C49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E563F1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9107E2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107E2" w:rsidRPr="00F25FF1">
              <w:rPr>
                <w:rFonts w:ascii="Times New Roman" w:hAnsi="Times New Roman"/>
                <w:sz w:val="20"/>
                <w:szCs w:val="20"/>
              </w:rPr>
            </w:r>
            <w:r w:rsidR="009107E2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9107E2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010387" w:rsidRDefault="00783D4A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434 850,00руб.  с НДС/362 375,00</w:t>
            </w:r>
            <w:r w:rsidR="00010387" w:rsidRPr="0001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983E74" w:rsidRDefault="00983E74" w:rsidP="00983E7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7E2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107E2" w:rsidRPr="00F25FF1">
              <w:rPr>
                <w:rFonts w:ascii="Times New Roman" w:hAnsi="Times New Roman"/>
                <w:sz w:val="20"/>
                <w:szCs w:val="20"/>
              </w:rPr>
            </w:r>
            <w:r w:rsidR="009107E2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9107E2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8C3BE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783D4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D4C49" w:rsidRPr="000D4C49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D4C49" w:rsidRPr="000D4C49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D4C49" w:rsidRPr="000D4C49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D4C49" w:rsidRPr="000D4C49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D4C49" w:rsidRPr="000D4C49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9107E2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9107E2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D4C49" w:rsidRPr="000D4C49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D4C49" w:rsidRPr="000D4C49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9107E2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9107E2" w:rsidRPr="00F25FF1">
        <w:rPr>
          <w:rFonts w:ascii="Times New Roman" w:hAnsi="Times New Roman"/>
          <w:sz w:val="20"/>
          <w:szCs w:val="20"/>
        </w:rPr>
        <w:fldChar w:fldCharType="separate"/>
      </w:r>
      <w:r w:rsidR="000D4C49">
        <w:rPr>
          <w:rFonts w:ascii="Times New Roman" w:hAnsi="Times New Roman"/>
          <w:noProof/>
          <w:sz w:val="20"/>
          <w:szCs w:val="20"/>
        </w:rPr>
        <w:t>1</w:t>
      </w:r>
      <w:r w:rsidR="009107E2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D4C49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48" w:tblpY="1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25"/>
        <w:gridCol w:w="1516"/>
        <w:gridCol w:w="841"/>
        <w:gridCol w:w="1842"/>
        <w:gridCol w:w="1134"/>
        <w:gridCol w:w="1276"/>
        <w:gridCol w:w="1418"/>
      </w:tblGrid>
      <w:tr w:rsidR="00DF6C8C" w:rsidRPr="00C06450" w:rsidTr="00702A7A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6450">
              <w:rPr>
                <w:b/>
                <w:sz w:val="18"/>
                <w:szCs w:val="18"/>
              </w:rPr>
              <w:t>/</w:t>
            </w:r>
            <w:proofErr w:type="spell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ГОСТ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Требуемые значения</w:t>
            </w:r>
          </w:p>
          <w:p w:rsidR="00DF6C8C" w:rsidRPr="00C06450" w:rsidRDefault="00DF6C8C" w:rsidP="00702A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Параметров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 xml:space="preserve">Предлагаемые значения параметров </w:t>
            </w:r>
          </w:p>
        </w:tc>
      </w:tr>
      <w:tr w:rsidR="00DF6C8C" w:rsidRPr="00F25FF1" w:rsidTr="00702A7A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Потери короткого замыкания </w:t>
            </w:r>
            <w:proofErr w:type="gramStart"/>
            <w:r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8261C4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5051" w:rsidRPr="00F25FF1" w:rsidTr="00145051">
        <w:trPr>
          <w:trHeight w:val="2774"/>
        </w:trPr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F25FF1" w:rsidRDefault="00145051" w:rsidP="00145051">
            <w:pPr>
              <w:pStyle w:val="afff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F25FF1" w:rsidRDefault="00145051" w:rsidP="00145051">
            <w:pPr>
              <w:outlineLvl w:val="1"/>
              <w:rPr>
                <w:bCs/>
                <w:sz w:val="20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ТМГ-630/10-12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CC4800">
              <w:rPr>
                <w:b/>
                <w:sz w:val="20"/>
                <w:szCs w:val="20"/>
              </w:rPr>
              <w:t>∆/У</w:t>
            </w:r>
            <w:r w:rsidRPr="00CC4800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F25FF1" w:rsidRDefault="00145051" w:rsidP="00EC4B1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25FF1">
              <w:rPr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b/>
                <w:sz w:val="20"/>
                <w:szCs w:val="20"/>
              </w:rPr>
              <w:t xml:space="preserve"> 52719-2007</w:t>
            </w:r>
          </w:p>
          <w:p w:rsidR="00145051" w:rsidRPr="00F25FF1" w:rsidRDefault="00145051" w:rsidP="00EC4B1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145051" w:rsidRPr="00F25FF1" w:rsidRDefault="00145051" w:rsidP="00EC4B1E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F25FF1" w:rsidRDefault="00145051" w:rsidP="00145051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F25FF1" w:rsidRDefault="00145051" w:rsidP="00EC4B1E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145051" w:rsidRPr="00F25FF1" w:rsidRDefault="00145051" w:rsidP="00EC4B1E">
            <w:pPr>
              <w:pStyle w:val="afff1"/>
              <w:tabs>
                <w:tab w:val="left" w:pos="57"/>
                <w:tab w:val="left" w:pos="18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250914" w:rsidRDefault="00145051" w:rsidP="00145051">
            <w:pPr>
              <w:pStyle w:val="afff1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250914" w:rsidRDefault="00145051" w:rsidP="00145051">
            <w:pPr>
              <w:pStyle w:val="afff1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6750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8261C4" w:rsidRDefault="00145051" w:rsidP="00EC4B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251BD1" w:rsidRPr="008261C4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lastRenderedPageBreak/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251BD1" w:rsidRPr="00CF63B6" w:rsidRDefault="00251BD1" w:rsidP="00251BD1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251BD1" w:rsidRPr="00B12EC6" w:rsidRDefault="00251BD1" w:rsidP="00251BD1">
      <w:pPr>
        <w:pStyle w:val="aff0"/>
        <w:tabs>
          <w:tab w:val="clear" w:pos="851"/>
          <w:tab w:val="clear" w:pos="993"/>
          <w:tab w:val="left" w:pos="426"/>
          <w:tab w:val="left" w:pos="1985"/>
        </w:tabs>
        <w:spacing w:line="240" w:lineRule="auto"/>
        <w:ind w:left="426" w:right="34" w:firstLine="0"/>
        <w:rPr>
          <w:b w:val="0"/>
          <w:sz w:val="20"/>
        </w:rPr>
      </w:pP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D4C49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D4C49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9107E2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Условия оплаты*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Сроки поставки*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Pr="00251BD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51BD1" w:rsidRPr="00D3796C" w:rsidRDefault="00251BD1" w:rsidP="00251BD1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251BD1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145051">
        <w:rPr>
          <w:rFonts w:ascii="Times New Roman" w:hAnsi="Times New Roman"/>
          <w:sz w:val="20"/>
          <w:szCs w:val="20"/>
        </w:rPr>
        <w:t>49-э ЗК-ПГЭС от 29</w:t>
      </w:r>
      <w:r w:rsidR="00DA4173">
        <w:rPr>
          <w:rFonts w:ascii="Times New Roman" w:hAnsi="Times New Roman"/>
          <w:sz w:val="20"/>
          <w:szCs w:val="20"/>
        </w:rPr>
        <w:t>.0</w:t>
      </w:r>
      <w:r w:rsidR="00B41A5E">
        <w:rPr>
          <w:rFonts w:ascii="Times New Roman" w:hAnsi="Times New Roman"/>
          <w:sz w:val="20"/>
          <w:szCs w:val="20"/>
        </w:rPr>
        <w:t>4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AC61FE" w:rsidRPr="00F25FF1" w:rsidRDefault="00AC61FE" w:rsidP="00AC61FE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AC61FE" w:rsidRDefault="00AC61FE" w:rsidP="00AC61FE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3.1.1. Предоставить товар ПОКУПАТЕЛЮ:</w:t>
      </w:r>
      <w:r w:rsidR="00145051">
        <w:rPr>
          <w:sz w:val="20"/>
          <w:szCs w:val="20"/>
        </w:rPr>
        <w:t xml:space="preserve"> в срок не более 30</w:t>
      </w:r>
      <w:r w:rsidR="00145051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AC61FE" w:rsidRPr="00F25FF1" w:rsidRDefault="00AC61FE" w:rsidP="00AC61FE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AC61FE" w:rsidRPr="00F25FF1" w:rsidRDefault="00AC61FE" w:rsidP="00AC61FE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AC61FE" w:rsidRPr="00F25FF1" w:rsidRDefault="00AC61FE" w:rsidP="00AC61FE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C61FE" w:rsidRPr="00AC61FE" w:rsidRDefault="00CA5F9E" w:rsidP="00AC61FE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  <w:r w:rsidR="00C535F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907954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lastRenderedPageBreak/>
        <w:t>Приложение №1</w:t>
      </w:r>
    </w:p>
    <w:p w:rsidR="00CA5F9E" w:rsidRPr="00907954" w:rsidRDefault="00B447EC" w:rsidP="00D04909">
      <w:pPr>
        <w:pStyle w:val="affe"/>
        <w:spacing w:before="0" w:after="0"/>
        <w:ind w:firstLine="0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t xml:space="preserve">                                                                </w:t>
      </w:r>
      <w:r w:rsidR="00D04909" w:rsidRPr="00907954">
        <w:rPr>
          <w:b/>
          <w:i w:val="0"/>
          <w:sz w:val="18"/>
          <w:szCs w:val="18"/>
        </w:rPr>
        <w:t xml:space="preserve">                   </w:t>
      </w:r>
      <w:r w:rsidRPr="00907954">
        <w:rPr>
          <w:b/>
          <w:i w:val="0"/>
          <w:sz w:val="18"/>
          <w:szCs w:val="18"/>
        </w:rPr>
        <w:t xml:space="preserve">  </w:t>
      </w:r>
      <w:r w:rsidR="00CA5F9E" w:rsidRPr="00907954">
        <w:rPr>
          <w:b/>
          <w:i w:val="0"/>
          <w:sz w:val="18"/>
          <w:szCs w:val="18"/>
        </w:rPr>
        <w:t xml:space="preserve"> к договору №</w:t>
      </w:r>
      <w:proofErr w:type="spellStart"/>
      <w:r w:rsidR="00CA5F9E" w:rsidRPr="00907954">
        <w:rPr>
          <w:b/>
          <w:i w:val="0"/>
          <w:sz w:val="18"/>
          <w:szCs w:val="18"/>
        </w:rPr>
        <w:t>_______________от</w:t>
      </w:r>
      <w:proofErr w:type="spellEnd"/>
      <w:r w:rsidR="00CA5F9E" w:rsidRPr="00907954">
        <w:rPr>
          <w:b/>
          <w:i w:val="0"/>
          <w:sz w:val="18"/>
          <w:szCs w:val="18"/>
        </w:rPr>
        <w:t xml:space="preserve"> «        »_________________</w:t>
      </w:r>
      <w:r w:rsidR="00DA4173" w:rsidRPr="00907954">
        <w:rPr>
          <w:b/>
          <w:i w:val="0"/>
          <w:sz w:val="18"/>
          <w:szCs w:val="18"/>
        </w:rPr>
        <w:t>2021</w:t>
      </w:r>
      <w:r w:rsidR="00CA5F9E" w:rsidRPr="00907954">
        <w:rPr>
          <w:b/>
          <w:i w:val="0"/>
          <w:sz w:val="18"/>
          <w:szCs w:val="18"/>
        </w:rPr>
        <w:t>г.</w:t>
      </w:r>
    </w:p>
    <w:p w:rsidR="00B721D8" w:rsidRPr="00907954" w:rsidRDefault="00B721D8" w:rsidP="00907954">
      <w:pPr>
        <w:pStyle w:val="affe"/>
        <w:spacing w:before="0" w:after="0"/>
        <w:ind w:firstLine="0"/>
        <w:rPr>
          <w:b/>
          <w:i w:val="0"/>
          <w:sz w:val="18"/>
          <w:szCs w:val="18"/>
        </w:rPr>
      </w:pPr>
    </w:p>
    <w:p w:rsidR="00B721D8" w:rsidRPr="00907954" w:rsidRDefault="00CA5F9E" w:rsidP="000E5E0C">
      <w:pPr>
        <w:pStyle w:val="affe"/>
        <w:spacing w:before="0" w:after="0"/>
        <w:jc w:val="center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125"/>
        <w:gridCol w:w="1700"/>
        <w:gridCol w:w="1134"/>
        <w:gridCol w:w="1420"/>
        <w:gridCol w:w="709"/>
        <w:gridCol w:w="1140"/>
        <w:gridCol w:w="1205"/>
        <w:gridCol w:w="9"/>
      </w:tblGrid>
      <w:tr w:rsidR="000E5E0C" w:rsidRPr="00907954" w:rsidTr="00296F87">
        <w:trPr>
          <w:gridAfter w:val="1"/>
          <w:wAfter w:w="9" w:type="dxa"/>
          <w:cantSplit/>
          <w:trHeight w:val="34"/>
        </w:trPr>
        <w:tc>
          <w:tcPr>
            <w:tcW w:w="489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N</w:t>
            </w:r>
          </w:p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5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4" w:type="dxa"/>
            <w:gridSpan w:val="2"/>
            <w:vAlign w:val="center"/>
          </w:tcPr>
          <w:p w:rsidR="00B721D8" w:rsidRPr="00907954" w:rsidRDefault="00B721D8" w:rsidP="00296F87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420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709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Кол – во, </w:t>
            </w:r>
            <w:proofErr w:type="spellStart"/>
            <w:proofErr w:type="gramStart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Цена за единицу, руб., в том числе НДС (20 %)</w:t>
            </w:r>
          </w:p>
        </w:tc>
        <w:tc>
          <w:tcPr>
            <w:tcW w:w="1205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Общая цена, руб., в том числе</w:t>
            </w:r>
          </w:p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НДС (20 %)</w:t>
            </w:r>
          </w:p>
        </w:tc>
      </w:tr>
      <w:tr w:rsidR="00296F87" w:rsidRPr="00907954" w:rsidTr="00296F87">
        <w:trPr>
          <w:cantSplit/>
          <w:trHeight w:val="461"/>
        </w:trPr>
        <w:tc>
          <w:tcPr>
            <w:tcW w:w="489" w:type="dxa"/>
            <w:vMerge w:val="restart"/>
            <w:vAlign w:val="center"/>
          </w:tcPr>
          <w:p w:rsidR="00296F87" w:rsidRPr="00907954" w:rsidRDefault="00145051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vAlign w:val="center"/>
          </w:tcPr>
          <w:p w:rsidR="00296F87" w:rsidRPr="00907954" w:rsidRDefault="00296F87" w:rsidP="0014505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Силовой тра</w:t>
            </w:r>
            <w:r w:rsidR="001450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нсформатор ТМГ-630/10-12 УХЛ</w:t>
            </w:r>
            <w:proofErr w:type="gramStart"/>
            <w:r w:rsidR="001450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="001450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</w:t>
            </w:r>
            <w:r w:rsidRPr="009079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/0,4кВ </w:t>
            </w:r>
            <w:r w:rsidRPr="00907954">
              <w:rPr>
                <w:b/>
                <w:sz w:val="18"/>
                <w:szCs w:val="18"/>
              </w:rPr>
              <w:t>∆/У</w:t>
            </w:r>
            <w:r w:rsidRPr="00907954">
              <w:rPr>
                <w:b/>
                <w:sz w:val="18"/>
                <w:szCs w:val="18"/>
                <w:vertAlign w:val="subscript"/>
              </w:rPr>
              <w:t xml:space="preserve">н-11  </w:t>
            </w:r>
            <w:r w:rsidRPr="00907954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Номинальная мощность, </w:t>
            </w:r>
            <w:proofErr w:type="spellStart"/>
            <w:r w:rsidRPr="00907954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145051" w:rsidRPr="00907954" w:rsidRDefault="00145051" w:rsidP="00145051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52719-2007</w:t>
            </w:r>
          </w:p>
          <w:p w:rsidR="00145051" w:rsidRPr="00907954" w:rsidRDefault="00145051" w:rsidP="00145051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 12.2.007.2-75</w:t>
            </w:r>
          </w:p>
          <w:p w:rsidR="00296F87" w:rsidRPr="00907954" w:rsidRDefault="00145051" w:rsidP="0014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 12.2.024-87</w:t>
            </w:r>
          </w:p>
        </w:tc>
        <w:tc>
          <w:tcPr>
            <w:tcW w:w="709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506"/>
        </w:trPr>
        <w:tc>
          <w:tcPr>
            <w:tcW w:w="48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холостого хода,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407"/>
        </w:trPr>
        <w:tc>
          <w:tcPr>
            <w:tcW w:w="48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короткого замыкания,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263"/>
        </w:trPr>
        <w:tc>
          <w:tcPr>
            <w:tcW w:w="8717" w:type="dxa"/>
            <w:gridSpan w:val="7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14" w:type="dxa"/>
            <w:gridSpan w:val="2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B721D8" w:rsidRPr="0090795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B721D8" w:rsidRPr="0090795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hAnsi="Times New Roman"/>
          <w:sz w:val="18"/>
          <w:szCs w:val="18"/>
        </w:rPr>
        <w:t>Общая стоимость: _____________________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bCs/>
          <w:sz w:val="18"/>
          <w:szCs w:val="18"/>
          <w:lang w:eastAsia="ru-RU"/>
        </w:rPr>
        <w:t>Способ доставки: автотранспортом, за счет Поставщика.</w:t>
      </w:r>
    </w:p>
    <w:p w:rsidR="00B721D8" w:rsidRPr="00145051" w:rsidRDefault="00B721D8" w:rsidP="00145051">
      <w:pPr>
        <w:spacing w:after="0" w:line="240" w:lineRule="auto"/>
        <w:outlineLvl w:val="1"/>
        <w:rPr>
          <w:rFonts w:ascii="Times New Roman" w:hAnsi="Times New Roman"/>
          <w:bCs/>
          <w:sz w:val="18"/>
          <w:szCs w:val="18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 xml:space="preserve">Срок поставки: </w:t>
      </w:r>
      <w:r w:rsidR="00145051" w:rsidRPr="00907954">
        <w:rPr>
          <w:rFonts w:ascii="Times New Roman" w:hAnsi="Times New Roman"/>
          <w:sz w:val="18"/>
          <w:szCs w:val="18"/>
        </w:rPr>
        <w:t>не более 30 календарных дней  с момента подписания договора.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поставки: </w:t>
      </w:r>
      <w:proofErr w:type="gramStart"/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. Пенза, ул. Стрельбищенская 13.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Завод изготовитель: ______________________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hAnsi="Times New Roman"/>
          <w:sz w:val="18"/>
          <w:szCs w:val="18"/>
        </w:rPr>
        <w:t>Комплектация:</w:t>
      </w:r>
    </w:p>
    <w:p w:rsidR="00B721D8" w:rsidRPr="0090795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color w:val="000000"/>
          <w:sz w:val="18"/>
          <w:szCs w:val="18"/>
        </w:rPr>
      </w:pPr>
      <w:r w:rsidRPr="00907954">
        <w:rPr>
          <w:sz w:val="18"/>
          <w:szCs w:val="18"/>
        </w:rPr>
        <w:t xml:space="preserve">- </w:t>
      </w:r>
      <w:r w:rsidRPr="00907954">
        <w:rPr>
          <w:color w:val="000000"/>
          <w:sz w:val="18"/>
          <w:szCs w:val="18"/>
        </w:rPr>
        <w:t>Контактные зажимы на шпильке 0,4кВ обязательные к поставке на каждый вид трансформатора;</w:t>
      </w:r>
    </w:p>
    <w:p w:rsidR="00B721D8" w:rsidRPr="0090795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sz w:val="18"/>
          <w:szCs w:val="18"/>
        </w:rPr>
      </w:pPr>
      <w:r w:rsidRPr="00907954">
        <w:rPr>
          <w:color w:val="000000"/>
          <w:sz w:val="18"/>
          <w:szCs w:val="18"/>
        </w:rPr>
        <w:t xml:space="preserve">- </w:t>
      </w:r>
      <w:r w:rsidRPr="00907954">
        <w:rPr>
          <w:sz w:val="18"/>
          <w:szCs w:val="18"/>
        </w:rPr>
        <w:t xml:space="preserve">На швеллерах, устанавливаются </w:t>
      </w:r>
      <w:r w:rsidRPr="00907954">
        <w:rPr>
          <w:bCs/>
          <w:sz w:val="18"/>
          <w:szCs w:val="18"/>
        </w:rPr>
        <w:t>транспортировочные</w:t>
      </w:r>
      <w:r w:rsidRPr="00907954">
        <w:rPr>
          <w:sz w:val="18"/>
          <w:szCs w:val="18"/>
        </w:rPr>
        <w:t xml:space="preserve"> ролики.</w:t>
      </w:r>
    </w:p>
    <w:p w:rsidR="00907954" w:rsidRDefault="00B721D8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07954">
        <w:rPr>
          <w:rFonts w:ascii="Times New Roman" w:hAnsi="Times New Roman"/>
          <w:sz w:val="18"/>
          <w:szCs w:val="18"/>
        </w:rPr>
        <w:t>8.  Продукция должна быть новой и ра</w:t>
      </w:r>
      <w:r w:rsidR="00DA4173" w:rsidRPr="00907954">
        <w:rPr>
          <w:rFonts w:ascii="Times New Roman" w:hAnsi="Times New Roman"/>
          <w:sz w:val="18"/>
          <w:szCs w:val="18"/>
        </w:rPr>
        <w:t>нее неиспользованной, не ранее 4</w:t>
      </w:r>
      <w:r w:rsidRPr="00907954">
        <w:rPr>
          <w:rFonts w:ascii="Times New Roman" w:hAnsi="Times New Roman"/>
          <w:sz w:val="18"/>
          <w:szCs w:val="18"/>
        </w:rPr>
        <w:t xml:space="preserve"> кв. 2020 г. выпуска.</w:t>
      </w:r>
    </w:p>
    <w:p w:rsidR="00660820" w:rsidRDefault="00B721D8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b/>
          <w:i/>
          <w:sz w:val="18"/>
          <w:szCs w:val="18"/>
        </w:rPr>
      </w:pPr>
      <w:r w:rsidRPr="00907954">
        <w:rPr>
          <w:rFonts w:ascii="Times New Roman" w:hAnsi="Times New Roman"/>
          <w:sz w:val="18"/>
          <w:szCs w:val="18"/>
        </w:rPr>
        <w:t>9.  Гарантия качества:</w:t>
      </w:r>
      <w:r w:rsidRPr="00907954">
        <w:rPr>
          <w:b/>
          <w:i/>
          <w:sz w:val="18"/>
          <w:szCs w:val="18"/>
        </w:rPr>
        <w:t xml:space="preserve"> ______________________</w:t>
      </w:r>
    </w:p>
    <w:p w:rsidR="00907954" w:rsidRPr="00907954" w:rsidRDefault="00907954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907954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907954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___________________  /Рябинин В.В./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_____________________  /________________/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М.П.    </w:t>
            </w:r>
          </w:p>
          <w:p w:rsidR="00DA4173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7685" w:rsidRPr="00F25FF1" w:rsidRDefault="003C2818" w:rsidP="00DA4173">
      <w:pPr>
        <w:pStyle w:val="2"/>
        <w:pageBreakBefore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6" w:tblpY="122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29"/>
        <w:gridCol w:w="1717"/>
        <w:gridCol w:w="1092"/>
        <w:gridCol w:w="1553"/>
        <w:gridCol w:w="1134"/>
        <w:gridCol w:w="1371"/>
      </w:tblGrid>
      <w:tr w:rsidR="000E5E0C" w:rsidRPr="00F25FF1" w:rsidTr="000E5E0C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907954" w:rsidRDefault="000E5E0C" w:rsidP="007A4C85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079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907954" w:rsidRPr="00F25FF1" w:rsidTr="00783D4A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145051" w:rsidP="00907954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14505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Силовой тра</w:t>
            </w:r>
            <w:r w:rsidR="001450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нсформатор ТМГ-630/10-12 УХЛ</w:t>
            </w:r>
            <w:proofErr w:type="gramStart"/>
            <w:r w:rsidR="001450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="001450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6</w:t>
            </w:r>
            <w:r w:rsidRPr="009079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/0,4кВ </w:t>
            </w:r>
            <w:r w:rsidRPr="00907954">
              <w:rPr>
                <w:sz w:val="18"/>
                <w:szCs w:val="18"/>
              </w:rPr>
              <w:t>∆/У</w:t>
            </w:r>
            <w:r w:rsidRPr="00907954">
              <w:rPr>
                <w:sz w:val="18"/>
                <w:szCs w:val="18"/>
                <w:vertAlign w:val="subscript"/>
              </w:rPr>
              <w:t xml:space="preserve">н-11  </w:t>
            </w:r>
            <w:r w:rsidRPr="0090795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51" w:rsidRPr="00670F4A" w:rsidRDefault="00145051" w:rsidP="00145051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70F4A">
              <w:rPr>
                <w:sz w:val="20"/>
                <w:szCs w:val="20"/>
              </w:rPr>
              <w:t>Р52719-2007</w:t>
            </w:r>
          </w:p>
          <w:p w:rsidR="00145051" w:rsidRPr="00670F4A" w:rsidRDefault="00145051" w:rsidP="00145051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45051" w:rsidRPr="00670F4A" w:rsidRDefault="00145051" w:rsidP="00145051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70F4A">
              <w:rPr>
                <w:sz w:val="20"/>
                <w:szCs w:val="20"/>
              </w:rPr>
              <w:t>12.2.007.2-75</w:t>
            </w:r>
          </w:p>
          <w:p w:rsidR="00145051" w:rsidRPr="00670F4A" w:rsidRDefault="00145051" w:rsidP="00145051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07954" w:rsidRPr="00F25FF1" w:rsidRDefault="00145051" w:rsidP="00145051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0F4A">
              <w:rPr>
                <w:sz w:val="20"/>
                <w:szCs w:val="20"/>
              </w:rPr>
              <w:t>12.2.024-87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6750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145051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Pr="000E5E0C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Pr="000E5E0C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sz w:val="20"/>
          <w:szCs w:val="20"/>
        </w:rPr>
        <w:t>Условия оплаты: оплата</w:t>
      </w:r>
      <w:r w:rsidRPr="00CF3EBB">
        <w:rPr>
          <w:rFonts w:ascii="Times New Roman" w:hAnsi="Times New Roman"/>
          <w:sz w:val="20"/>
          <w:szCs w:val="20"/>
        </w:rPr>
        <w:t xml:space="preserve">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51" w:rsidRDefault="00145051" w:rsidP="004471A3">
      <w:pPr>
        <w:spacing w:after="0" w:line="240" w:lineRule="auto"/>
      </w:pPr>
      <w:r>
        <w:separator/>
      </w:r>
    </w:p>
  </w:endnote>
  <w:endnote w:type="continuationSeparator" w:id="0">
    <w:p w:rsidR="00145051" w:rsidRDefault="0014505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51" w:rsidRDefault="00145051" w:rsidP="00A977A6">
    <w:pPr>
      <w:pStyle w:val="ae"/>
      <w:rPr>
        <w:szCs w:val="18"/>
      </w:rPr>
    </w:pPr>
  </w:p>
  <w:p w:rsidR="00145051" w:rsidRPr="00441775" w:rsidRDefault="00145051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51" w:rsidRPr="00E822B1" w:rsidRDefault="009107E2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145051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8C3BE1">
      <w:rPr>
        <w:rFonts w:ascii="Times New Roman" w:hAnsi="Times New Roman"/>
        <w:noProof/>
        <w:sz w:val="24"/>
        <w:szCs w:val="24"/>
      </w:rPr>
      <w:t>16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51" w:rsidRPr="00E822B1" w:rsidRDefault="00145051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51" w:rsidRPr="003C65A5" w:rsidRDefault="009107E2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145051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8C3BE1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51" w:rsidRDefault="00145051" w:rsidP="004471A3">
      <w:pPr>
        <w:spacing w:after="0" w:line="240" w:lineRule="auto"/>
      </w:pPr>
      <w:r>
        <w:separator/>
      </w:r>
    </w:p>
  </w:footnote>
  <w:footnote w:type="continuationSeparator" w:id="0">
    <w:p w:rsidR="00145051" w:rsidRDefault="00145051" w:rsidP="004471A3">
      <w:pPr>
        <w:spacing w:after="0" w:line="240" w:lineRule="auto"/>
      </w:pPr>
      <w:r>
        <w:continuationSeparator/>
      </w:r>
    </w:p>
  </w:footnote>
  <w:footnote w:id="1">
    <w:p w:rsidR="00145051" w:rsidRPr="006B29E1" w:rsidRDefault="00145051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145051" w:rsidRDefault="00145051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145051" w:rsidRPr="007C18BC" w:rsidRDefault="00145051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145051" w:rsidRPr="007C18BC" w:rsidRDefault="00145051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51" w:rsidRDefault="00145051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997B46"/>
    <w:multiLevelType w:val="hybridMultilevel"/>
    <w:tmpl w:val="F04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25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30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"/>
  </w:num>
  <w:num w:numId="17">
    <w:abstractNumId w:val="13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26"/>
  </w:num>
  <w:num w:numId="23">
    <w:abstractNumId w:val="21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9"/>
  </w:num>
  <w:num w:numId="31">
    <w:abstractNumId w:val="17"/>
  </w:num>
  <w:num w:numId="32">
    <w:abstractNumId w:val="11"/>
  </w:num>
  <w:num w:numId="33">
    <w:abstractNumId w:val="24"/>
  </w:num>
  <w:num w:numId="34">
    <w:abstractNumId w:val="33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7"/>
  </w:num>
  <w:num w:numId="43">
    <w:abstractNumId w:val="41"/>
  </w:num>
  <w:num w:numId="44">
    <w:abstractNumId w:val="2"/>
  </w:num>
  <w:num w:numId="45">
    <w:abstractNumId w:val="4"/>
  </w:num>
  <w:num w:numId="46">
    <w:abstractNumId w:val="1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C49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5051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1B9A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B61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77A0"/>
    <w:rsid w:val="00251948"/>
    <w:rsid w:val="00251BD1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96F87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4346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3789D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03D4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D4F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29B7"/>
    <w:rsid w:val="005E47F2"/>
    <w:rsid w:val="005E7004"/>
    <w:rsid w:val="005F0478"/>
    <w:rsid w:val="005F6661"/>
    <w:rsid w:val="006007CD"/>
    <w:rsid w:val="00603148"/>
    <w:rsid w:val="0060366E"/>
    <w:rsid w:val="0060375E"/>
    <w:rsid w:val="00615B8C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0F4A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C6325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2A7A"/>
    <w:rsid w:val="00706F15"/>
    <w:rsid w:val="00711395"/>
    <w:rsid w:val="00717668"/>
    <w:rsid w:val="007265A9"/>
    <w:rsid w:val="007318BE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83D4A"/>
    <w:rsid w:val="0079207D"/>
    <w:rsid w:val="00794965"/>
    <w:rsid w:val="00795C78"/>
    <w:rsid w:val="007A0E3C"/>
    <w:rsid w:val="007A2233"/>
    <w:rsid w:val="007A3A16"/>
    <w:rsid w:val="007A4C85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488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698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3BE1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954"/>
    <w:rsid w:val="00907B64"/>
    <w:rsid w:val="009107E2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3E74"/>
    <w:rsid w:val="00986B80"/>
    <w:rsid w:val="00987DB1"/>
    <w:rsid w:val="00991806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2841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C61FE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1A5E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0566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535FE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0C84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3DE0"/>
    <w:rsid w:val="00D2410E"/>
    <w:rsid w:val="00D2452F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D223B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21F8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90E2E"/>
    <w:rsid w:val="00EA0A44"/>
    <w:rsid w:val="00EA5B4C"/>
    <w:rsid w:val="00EB041E"/>
    <w:rsid w:val="00EB51E4"/>
    <w:rsid w:val="00EB7741"/>
    <w:rsid w:val="00EC311C"/>
    <w:rsid w:val="00EC40F3"/>
    <w:rsid w:val="00EC4B1E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997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08F3-7272-473F-B2ED-5FF9672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19166</Words>
  <Characters>109251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128161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2021-04-29T07:37:00Z</cp:lastPrinted>
  <dcterms:created xsi:type="dcterms:W3CDTF">2021-04-29T07:22:00Z</dcterms:created>
  <dcterms:modified xsi:type="dcterms:W3CDTF">2021-04-30T08:42:00Z</dcterms:modified>
</cp:coreProperties>
</file>