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32" w:rsidRPr="006F0732" w:rsidRDefault="006F0732" w:rsidP="006F0732">
      <w:pPr>
        <w:tabs>
          <w:tab w:val="left" w:pos="284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0732">
        <w:rPr>
          <w:rFonts w:ascii="Times New Roman" w:hAnsi="Times New Roman" w:cs="Times New Roman"/>
          <w:b/>
        </w:rPr>
        <w:t>Приложение №1</w:t>
      </w:r>
    </w:p>
    <w:p w:rsidR="006F0732" w:rsidRPr="006F0732" w:rsidRDefault="006F0732" w:rsidP="006F073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732">
        <w:rPr>
          <w:rFonts w:ascii="Times New Roman" w:hAnsi="Times New Roman" w:cs="Times New Roman"/>
          <w:b/>
        </w:rPr>
        <w:t>Техническое задание</w:t>
      </w:r>
    </w:p>
    <w:p w:rsidR="00801D3F" w:rsidRPr="006146D2" w:rsidRDefault="00801D3F" w:rsidP="00801D3F">
      <w:pPr>
        <w:pStyle w:val="Bodytext20"/>
        <w:numPr>
          <w:ilvl w:val="0"/>
          <w:numId w:val="39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D2">
        <w:rPr>
          <w:rFonts w:ascii="Times New Roman" w:hAnsi="Times New Roman" w:cs="Times New Roman"/>
          <w:b/>
          <w:sz w:val="24"/>
          <w:szCs w:val="24"/>
        </w:rPr>
        <w:t>Общие сведения о предмете открытого запроса предложений.</w:t>
      </w:r>
    </w:p>
    <w:p w:rsidR="00801D3F" w:rsidRPr="006146D2" w:rsidRDefault="00801D3F" w:rsidP="00801D3F">
      <w:pPr>
        <w:pStyle w:val="Bodytext20"/>
        <w:numPr>
          <w:ilvl w:val="1"/>
          <w:numId w:val="39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Предметом открытого запроса предложений является право заключения рамочного договора на поставку приборов учета электрической энергии (далее по тексту - «приборы учета» или «товар») с предельной стоимостью согласно прилагаемой спецификации (Приложение №1 к Техническому заданию).</w:t>
      </w:r>
    </w:p>
    <w:p w:rsidR="00801D3F" w:rsidRPr="006146D2" w:rsidRDefault="00801D3F" w:rsidP="00801D3F">
      <w:pPr>
        <w:pStyle w:val="Bodytext20"/>
        <w:numPr>
          <w:ilvl w:val="1"/>
          <w:numId w:val="39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Приборы учета должны быть новыми, не бывшими в употреблении.</w:t>
      </w:r>
    </w:p>
    <w:p w:rsidR="00801D3F" w:rsidRPr="006146D2" w:rsidRDefault="00801D3F" w:rsidP="00801D3F">
      <w:pPr>
        <w:pStyle w:val="Bodytext20"/>
        <w:numPr>
          <w:ilvl w:val="1"/>
          <w:numId w:val="39"/>
        </w:numPr>
        <w:shd w:val="clear" w:color="auto" w:fill="auto"/>
        <w:tabs>
          <w:tab w:val="left" w:pos="140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В цену заявки должны быть включены следующие услуги:</w:t>
      </w:r>
    </w:p>
    <w:p w:rsidR="00801D3F" w:rsidRPr="006146D2" w:rsidRDefault="00801D3F" w:rsidP="00801D3F">
      <w:pPr>
        <w:pStyle w:val="Bodytext20"/>
        <w:numPr>
          <w:ilvl w:val="0"/>
          <w:numId w:val="40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доставка к месту нахождения Заказчика;</w:t>
      </w:r>
    </w:p>
    <w:p w:rsidR="00801D3F" w:rsidRPr="006146D2" w:rsidRDefault="00801D3F" w:rsidP="00801D3F">
      <w:pPr>
        <w:pStyle w:val="Bodytext20"/>
        <w:numPr>
          <w:ilvl w:val="0"/>
          <w:numId w:val="40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ответственность Поставщика за сохранность груза в пути в пределах его стоимости.</w:t>
      </w:r>
    </w:p>
    <w:p w:rsidR="00801D3F" w:rsidRPr="006146D2" w:rsidRDefault="00801D3F" w:rsidP="00801D3F">
      <w:pPr>
        <w:pStyle w:val="Bodytext20"/>
        <w:numPr>
          <w:ilvl w:val="0"/>
          <w:numId w:val="40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налоги;</w:t>
      </w:r>
    </w:p>
    <w:p w:rsidR="00801D3F" w:rsidRPr="006146D2" w:rsidRDefault="00801D3F" w:rsidP="00801D3F">
      <w:pPr>
        <w:pStyle w:val="Bodytext20"/>
        <w:numPr>
          <w:ilvl w:val="0"/>
          <w:numId w:val="40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сборы;</w:t>
      </w:r>
    </w:p>
    <w:p w:rsidR="00801D3F" w:rsidRPr="006146D2" w:rsidRDefault="00801D3F" w:rsidP="00801D3F">
      <w:pPr>
        <w:pStyle w:val="Bodytext20"/>
        <w:numPr>
          <w:ilvl w:val="0"/>
          <w:numId w:val="40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скидки, предлагаемые поставщиком;</w:t>
      </w:r>
    </w:p>
    <w:p w:rsidR="00801D3F" w:rsidRPr="006146D2" w:rsidRDefault="00801D3F" w:rsidP="00801D3F">
      <w:pPr>
        <w:pStyle w:val="Bodytext20"/>
        <w:numPr>
          <w:ilvl w:val="0"/>
          <w:numId w:val="40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другие обязательные платежи.</w:t>
      </w:r>
    </w:p>
    <w:p w:rsidR="00801D3F" w:rsidRPr="006146D2" w:rsidRDefault="00801D3F" w:rsidP="00801D3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D3F" w:rsidRPr="006146D2" w:rsidRDefault="00801D3F" w:rsidP="00801D3F">
      <w:pPr>
        <w:pStyle w:val="Bodytext20"/>
        <w:numPr>
          <w:ilvl w:val="0"/>
          <w:numId w:val="39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D2">
        <w:rPr>
          <w:rFonts w:ascii="Times New Roman" w:hAnsi="Times New Roman" w:cs="Times New Roman"/>
          <w:b/>
          <w:sz w:val="24"/>
          <w:szCs w:val="24"/>
        </w:rPr>
        <w:t>Характеристики оборудования.</w:t>
      </w:r>
    </w:p>
    <w:p w:rsidR="00801D3F" w:rsidRPr="006146D2" w:rsidRDefault="00801D3F" w:rsidP="00801D3F">
      <w:pPr>
        <w:pStyle w:val="a6"/>
        <w:numPr>
          <w:ilvl w:val="1"/>
          <w:numId w:val="39"/>
        </w:numPr>
        <w:ind w:left="1140" w:hanging="4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146D2">
        <w:rPr>
          <w:rFonts w:ascii="Times New Roman" w:eastAsia="Tahoma" w:hAnsi="Times New Roman" w:cs="Times New Roman"/>
          <w:sz w:val="24"/>
          <w:szCs w:val="24"/>
        </w:rPr>
        <w:t>Общие требования.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Счётчик должен быть предназначен для 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многотарифного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 xml:space="preserve"> коммерческого или технического учета активной и реактивной энергии прямого и обратного направления.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В счетчике должны быть реализованы следующие функции: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6D2">
        <w:rPr>
          <w:rFonts w:ascii="Times New Roman" w:hAnsi="Times New Roman" w:cs="Times New Roman"/>
          <w:sz w:val="24"/>
          <w:szCs w:val="24"/>
        </w:rPr>
        <w:t>многотарифный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 xml:space="preserve"> учет электроэнергии (с тремя уровнями тарификации – по событиям, внешняя и повременная тарификации);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ведение ретроспективы (фиксация текущих значений накопителей энергии: на конец расчетного периода (месяц), на конец суток, на конец года и при возникновении определенного события);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ведение профиля нагрузки, с возможностью настройки типа сохраняемых параметров и времени усреднения;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6D2">
        <w:rPr>
          <w:rFonts w:ascii="Times New Roman" w:hAnsi="Times New Roman" w:cs="Times New Roman"/>
          <w:sz w:val="24"/>
          <w:szCs w:val="24"/>
        </w:rPr>
        <w:t>измерение параметров сети: частоты, напряжения, фазных токов, фазных напряжений, междуфазных (линейных) напряжений (с ненормируемой точностью), углов между током и напряжением по фазам; коэффициента мощности по фазам и трехфазного, активной, реактивной, полной мощности по фазам и суммарно;</w:t>
      </w:r>
      <w:proofErr w:type="gramEnd"/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измерение показателей качества электроэнергии (ПКЭ) в соответствии с классом «S» характеристики процесса измерений ГОСТ30804.4.30-2013: установившееся отклонение напряжения, отклонение частоты сети, длительность и глубина провала напряжения, длительность и максимальное значение перенапряжения, перерывы электроснабжения; анализ качества электроэнергии на соответствие нормам качества по ГОСТ 32144-2013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контроль напряжения питающей сети;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контроль токов; контроль частоты сети; контроль правильности чередования фаз;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контроль обрыва фазы;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контроль встречного потока мощности; телеметрические выходы с возможностью использования их в качестве «реле» – опция зависит от исполнения корпуса счетчика;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сигнализация по интерфейсу (возможность выступать в качестве инициатора связи с уровнем ИВКЭ или ИВК при: вскрытии 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клеммной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 xml:space="preserve"> крышки; воздействии </w:t>
      </w:r>
      <w:r w:rsidRPr="006146D2">
        <w:rPr>
          <w:rFonts w:ascii="Times New Roman" w:hAnsi="Times New Roman" w:cs="Times New Roman"/>
          <w:sz w:val="24"/>
          <w:szCs w:val="24"/>
        </w:rPr>
        <w:lastRenderedPageBreak/>
        <w:t xml:space="preserve">магнитным полем; 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перепараметрировании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>; превышении максимальной мощности; отклонении от нормированного значения уровня напряжения;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учет времени;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самодиагностика;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защита информации;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защита от несанкционированного вскрытия (электронные пломбы);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датчик магнитного поля, который фиксирует дату и время воздействия постоянного или переменного магнитного поля со значением модуля вектора магнитной индукции свыше 150 мТл (пиковое значение), вызывающего недопустимое отклонение метрологических характеристик ПУ, визуализированная индикация на внешнем дисплее;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датчик температуры внутри счетчика;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журналы событий с фиксацией: вскрытия 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клеммной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 xml:space="preserve"> крышки; вскрытия корпуса; даты последнего перепрограммирования; воздействия магнитного поля, вызывающего недопустимые отклонения метрологических характеристик ПУ; фактов связи с ПУ, приведших к изменению данных; отклонения напряжения в измерительных цепях от номинальных значений прибора; результатов самодиагностики; изменения текущих значений </w:t>
      </w:r>
      <w:proofErr w:type="gramStart"/>
      <w:r w:rsidRPr="006146D2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6146D2">
        <w:rPr>
          <w:rFonts w:ascii="Times New Roman" w:hAnsi="Times New Roman" w:cs="Times New Roman"/>
          <w:sz w:val="24"/>
          <w:szCs w:val="24"/>
        </w:rPr>
        <w:t xml:space="preserve"> и даты при синхронизации времени (не менее 3 500 записей по протоколу СПОДЭС;</w:t>
      </w:r>
    </w:p>
    <w:p w:rsidR="00801D3F" w:rsidRPr="006146D2" w:rsidRDefault="00801D3F" w:rsidP="00801D3F">
      <w:pPr>
        <w:pStyle w:val="a6"/>
        <w:numPr>
          <w:ilvl w:val="0"/>
          <w:numId w:val="32"/>
        </w:numPr>
        <w:ind w:left="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поддержка спецификации СПОДЭС для обмена данными по всем интерфейсам;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Счетчик должен быть поддержан в ПК «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 xml:space="preserve"> 8.1» ООО «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Прософт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 xml:space="preserve"> – Системы».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Счетчик должен конфигурироваться для работы в 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однотарифном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 xml:space="preserve"> режиме, не зависимо от введенного тарифного расписания. При этом учет энергии будет вестись по тарифу 1.</w:t>
      </w:r>
    </w:p>
    <w:p w:rsidR="00801D3F" w:rsidRPr="006146D2" w:rsidRDefault="00801D3F" w:rsidP="00801D3F">
      <w:pPr>
        <w:spacing w:after="0"/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Диапазон рабочих температур:</w:t>
      </w:r>
    </w:p>
    <w:tbl>
      <w:tblPr>
        <w:tblStyle w:val="a7"/>
        <w:tblpPr w:leftFromText="180" w:rightFromText="180" w:vertAnchor="text" w:horzAnchor="margin" w:tblpXSpec="center" w:tblpY="511"/>
        <w:tblW w:w="0" w:type="auto"/>
        <w:tblLook w:val="01E0"/>
      </w:tblPr>
      <w:tblGrid>
        <w:gridCol w:w="3022"/>
        <w:gridCol w:w="3357"/>
        <w:gridCol w:w="2835"/>
      </w:tblGrid>
      <w:tr w:rsidR="00801D3F" w:rsidRPr="006146D2" w:rsidTr="00E21DBC">
        <w:tc>
          <w:tcPr>
            <w:tcW w:w="3022" w:type="dxa"/>
          </w:tcPr>
          <w:p w:rsidR="00801D3F" w:rsidRPr="006146D2" w:rsidRDefault="00801D3F" w:rsidP="00E21DB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357" w:type="dxa"/>
          </w:tcPr>
          <w:p w:rsidR="00801D3F" w:rsidRPr="006146D2" w:rsidRDefault="00801D3F" w:rsidP="00E21DB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Счётчики наружной установки</w:t>
            </w:r>
          </w:p>
        </w:tc>
        <w:tc>
          <w:tcPr>
            <w:tcW w:w="2835" w:type="dxa"/>
          </w:tcPr>
          <w:p w:rsidR="00801D3F" w:rsidRPr="006146D2" w:rsidRDefault="00801D3F" w:rsidP="00E21DB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Счётчики, устанавливаемые внутри помещения</w:t>
            </w:r>
          </w:p>
        </w:tc>
      </w:tr>
      <w:tr w:rsidR="00801D3F" w:rsidRPr="006146D2" w:rsidTr="00E21DBC">
        <w:tc>
          <w:tcPr>
            <w:tcW w:w="3022" w:type="dxa"/>
          </w:tcPr>
          <w:p w:rsidR="00801D3F" w:rsidRPr="006146D2" w:rsidRDefault="00801D3F" w:rsidP="00E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рабочих температур, </w:t>
            </w:r>
            <w:r w:rsidRPr="006146D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proofErr w:type="gramStart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57" w:type="dxa"/>
          </w:tcPr>
          <w:p w:rsidR="00801D3F" w:rsidRPr="006146D2" w:rsidRDefault="00801D3F" w:rsidP="00E2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от минус 45 до 70</w:t>
            </w:r>
            <w:proofErr w:type="gramStart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измерительного блока; от минус 20 до 70 °С</w:t>
            </w:r>
          </w:p>
        </w:tc>
        <w:tc>
          <w:tcPr>
            <w:tcW w:w="2835" w:type="dxa"/>
          </w:tcPr>
          <w:p w:rsidR="00801D3F" w:rsidRPr="006146D2" w:rsidRDefault="00801D3F" w:rsidP="00E2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 xml:space="preserve"> минус 40 до плюс 70</w:t>
            </w:r>
          </w:p>
        </w:tc>
      </w:tr>
      <w:tr w:rsidR="00801D3F" w:rsidRPr="006146D2" w:rsidTr="00E21DBC">
        <w:tc>
          <w:tcPr>
            <w:tcW w:w="3022" w:type="dxa"/>
          </w:tcPr>
          <w:p w:rsidR="00801D3F" w:rsidRPr="006146D2" w:rsidRDefault="00801D3F" w:rsidP="00E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</w:t>
            </w:r>
          </w:p>
        </w:tc>
        <w:tc>
          <w:tcPr>
            <w:tcW w:w="3357" w:type="dxa"/>
          </w:tcPr>
          <w:p w:rsidR="00801D3F" w:rsidRPr="006146D2" w:rsidRDefault="00801D3F" w:rsidP="00E2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30-98%</w:t>
            </w:r>
          </w:p>
        </w:tc>
        <w:tc>
          <w:tcPr>
            <w:tcW w:w="2835" w:type="dxa"/>
          </w:tcPr>
          <w:p w:rsidR="00801D3F" w:rsidRPr="006146D2" w:rsidRDefault="00801D3F" w:rsidP="00E2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30-98%</w:t>
            </w:r>
          </w:p>
        </w:tc>
      </w:tr>
      <w:tr w:rsidR="00801D3F" w:rsidRPr="006146D2" w:rsidTr="00E21DBC">
        <w:tc>
          <w:tcPr>
            <w:tcW w:w="3022" w:type="dxa"/>
          </w:tcPr>
          <w:p w:rsidR="00801D3F" w:rsidRPr="006146D2" w:rsidRDefault="00801D3F" w:rsidP="00E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Давление, кПа (мм</w:t>
            </w:r>
            <w:proofErr w:type="gramStart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. ст.)</w:t>
            </w:r>
          </w:p>
        </w:tc>
        <w:tc>
          <w:tcPr>
            <w:tcW w:w="3357" w:type="dxa"/>
          </w:tcPr>
          <w:p w:rsidR="00801D3F" w:rsidRPr="006146D2" w:rsidRDefault="00801D3F" w:rsidP="00E2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от 70 до 106,7 (от 537 до 800)</w:t>
            </w:r>
          </w:p>
        </w:tc>
        <w:tc>
          <w:tcPr>
            <w:tcW w:w="2835" w:type="dxa"/>
          </w:tcPr>
          <w:p w:rsidR="00801D3F" w:rsidRPr="006146D2" w:rsidRDefault="00801D3F" w:rsidP="00E2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sz w:val="24"/>
                <w:szCs w:val="24"/>
              </w:rPr>
              <w:t xml:space="preserve">от 70 до 106,7 кПа (537-800 мм </w:t>
            </w:r>
            <w:proofErr w:type="spellStart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01D3F" w:rsidRPr="006146D2" w:rsidTr="00E21DBC">
        <w:tc>
          <w:tcPr>
            <w:tcW w:w="3022" w:type="dxa"/>
          </w:tcPr>
          <w:p w:rsidR="00801D3F" w:rsidRPr="006146D2" w:rsidRDefault="00801D3F" w:rsidP="00E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proofErr w:type="gramStart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измерительной</w:t>
            </w:r>
            <w:proofErr w:type="gramEnd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</w:p>
        </w:tc>
        <w:tc>
          <w:tcPr>
            <w:tcW w:w="3357" w:type="dxa"/>
            <w:vAlign w:val="center"/>
          </w:tcPr>
          <w:p w:rsidR="00801D3F" w:rsidRPr="006146D2" w:rsidRDefault="00801D3F" w:rsidP="00E2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46D2">
              <w:rPr>
                <w:rFonts w:ascii="Times New Roman" w:hAnsi="Times New Roman" w:cs="Times New Roman"/>
                <w:sz w:val="24"/>
                <w:szCs w:val="24"/>
              </w:rPr>
              <w:t xml:space="preserve"> минус 40 до плюс 70</w:t>
            </w:r>
          </w:p>
        </w:tc>
        <w:tc>
          <w:tcPr>
            <w:tcW w:w="2835" w:type="dxa"/>
            <w:vAlign w:val="center"/>
          </w:tcPr>
          <w:p w:rsidR="00801D3F" w:rsidRPr="006146D2" w:rsidRDefault="00801D3F" w:rsidP="00E2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sz w:val="24"/>
                <w:szCs w:val="24"/>
              </w:rPr>
              <w:t>(50 ± 2,5) Гц</w:t>
            </w:r>
          </w:p>
        </w:tc>
      </w:tr>
    </w:tbl>
    <w:p w:rsidR="00801D3F" w:rsidRPr="006146D2" w:rsidRDefault="00801D3F" w:rsidP="00801D3F">
      <w:pPr>
        <w:tabs>
          <w:tab w:val="left" w:pos="1766"/>
        </w:tabs>
        <w:rPr>
          <w:rFonts w:ascii="Times New Roman" w:hAnsi="Times New Roman" w:cs="Times New Roman"/>
          <w:sz w:val="24"/>
          <w:szCs w:val="24"/>
        </w:rPr>
      </w:pP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Дата поверки счетчиков должна быть не раньше предыдущего квартала от даты поставки счетчиков.</w:t>
      </w:r>
    </w:p>
    <w:p w:rsidR="00801D3F" w:rsidRPr="006146D2" w:rsidRDefault="00801D3F" w:rsidP="00801D3F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801D3F" w:rsidRPr="006146D2" w:rsidRDefault="00801D3F" w:rsidP="00801D3F">
      <w:pPr>
        <w:pStyle w:val="a6"/>
        <w:numPr>
          <w:ilvl w:val="1"/>
          <w:numId w:val="39"/>
        </w:numPr>
        <w:ind w:left="1140" w:hanging="420"/>
        <w:rPr>
          <w:rFonts w:ascii="Times New Roman" w:hAnsi="Times New Roman" w:cs="Times New Roman"/>
          <w:b/>
          <w:sz w:val="24"/>
          <w:szCs w:val="24"/>
        </w:rPr>
      </w:pPr>
      <w:r w:rsidRPr="006146D2">
        <w:rPr>
          <w:rFonts w:ascii="Times New Roman" w:hAnsi="Times New Roman" w:cs="Times New Roman"/>
          <w:b/>
          <w:sz w:val="24"/>
          <w:szCs w:val="24"/>
        </w:rPr>
        <w:t>Основные требования к счетчикам электроэнергии CE308 C36.746.OGR1.QYDUVFZ GB01 SPDS или аналог (</w:t>
      </w:r>
      <w:proofErr w:type="spellStart"/>
      <w:r w:rsidRPr="006146D2">
        <w:rPr>
          <w:rFonts w:ascii="Times New Roman" w:hAnsi="Times New Roman" w:cs="Times New Roman"/>
          <w:b/>
          <w:sz w:val="24"/>
          <w:szCs w:val="24"/>
        </w:rPr>
        <w:t>сплит</w:t>
      </w:r>
      <w:proofErr w:type="spellEnd"/>
      <w:r w:rsidRPr="006146D2">
        <w:rPr>
          <w:rFonts w:ascii="Times New Roman" w:hAnsi="Times New Roman" w:cs="Times New Roman"/>
          <w:b/>
          <w:sz w:val="24"/>
          <w:szCs w:val="24"/>
        </w:rPr>
        <w:t>).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Счетчик должен быть трехфазным, непосредственного включения и предназначен для измерения активной и реактивной электрической энергии в трехфазных 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четырехпроводных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 xml:space="preserve"> цепях переменного тока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lastRenderedPageBreak/>
        <w:t xml:space="preserve">Счетчик должен удовлетворять требованиям ГОСТ 31818.11-2012, ГОСТ 31819.21-2012 в части измерения активной энергии и ГОСТ 31819.23-2012 в части измерения реактивной энергии. 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Конструктивно счетчик должен быть разделен на две части: измерительный блок и внешний дисплей, входящий в комплект поставки. Измерительный блок должен выполнять всю функциональность 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многотарифного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 xml:space="preserve"> счетчика, за исключением индикации показаний, и осуществляет передачу информационных данных для автоматизированных информационно-измерительных систем коммерческого учета электроэнергии АИИС КУЭ (АСКУЭ). Связь между измерительным блоком и внешним дисплеем должна осуществляться по 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радиоинтерфейсу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>.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Счетчик наружной установки со встроенным GSM-модемом должен работать в сети подвижной радиотелефонной связи стандарта GSM900/1800 в режиме пакетной передачи данных, как клиент или сервер TCP/IP, с использованием технологии GPRS и в режиме канальной передачи данных с использованием технологии CSD. 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Измерительный блок должен устанавливаться без дополнительной защиты от влияния окружающей среды на опоре линии электропередачи.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Внешний дисплей должен использоваться внутри помещений для просмотра потребителем показаний с измерительного блока.</w:t>
      </w:r>
    </w:p>
    <w:p w:rsidR="00801D3F" w:rsidRPr="006146D2" w:rsidRDefault="00801D3F" w:rsidP="00801D3F">
      <w:pPr>
        <w:pStyle w:val="a6"/>
        <w:widowControl w:val="0"/>
        <w:tabs>
          <w:tab w:val="left" w:pos="362"/>
        </w:tabs>
        <w:autoSpaceDE w:val="0"/>
        <w:autoSpaceDN w:val="0"/>
        <w:spacing w:before="7" w:after="0" w:line="249" w:lineRule="auto"/>
        <w:ind w:left="708" w:right="3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1D3F" w:rsidRPr="006146D2" w:rsidRDefault="00801D3F" w:rsidP="00801D3F">
      <w:pPr>
        <w:pStyle w:val="a0"/>
        <w:spacing w:before="3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Основные технические характеристики.</w:t>
      </w: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1"/>
        <w:gridCol w:w="2268"/>
        <w:gridCol w:w="2977"/>
      </w:tblGrid>
      <w:tr w:rsidR="00801D3F" w:rsidRPr="006146D2" w:rsidTr="00E21DBC">
        <w:trPr>
          <w:trHeight w:val="256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0"/>
              <w:ind w:left="10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68" w:type="dxa"/>
          </w:tcPr>
          <w:p w:rsidR="00801D3F" w:rsidRPr="006146D2" w:rsidRDefault="00801D3F" w:rsidP="00E21DBC">
            <w:pPr>
              <w:pStyle w:val="TableParagraph"/>
              <w:spacing w:before="50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2977" w:type="dxa"/>
          </w:tcPr>
          <w:p w:rsidR="00801D3F" w:rsidRPr="006146D2" w:rsidRDefault="00801D3F" w:rsidP="00E21DBC">
            <w:pPr>
              <w:pStyle w:val="TableParagraph"/>
              <w:spacing w:before="50"/>
              <w:ind w:left="7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Примечание</w:t>
            </w:r>
            <w:proofErr w:type="spellEnd"/>
          </w:p>
        </w:tc>
      </w:tr>
      <w:tr w:rsidR="00801D3F" w:rsidRPr="006146D2" w:rsidTr="00E21DBC">
        <w:trPr>
          <w:trHeight w:val="256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0"/>
              <w:ind w:left="7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Базовый (максимальный) ток, А, не менее</w:t>
            </w:r>
          </w:p>
        </w:tc>
        <w:tc>
          <w:tcPr>
            <w:tcW w:w="2268" w:type="dxa"/>
          </w:tcPr>
          <w:p w:rsidR="00801D3F" w:rsidRPr="006146D2" w:rsidRDefault="00801D3F" w:rsidP="00E21DBC">
            <w:pPr>
              <w:pStyle w:val="TableParagraph"/>
              <w:spacing w:before="50"/>
              <w:ind w:left="54" w:right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 (100)</w:t>
            </w:r>
          </w:p>
        </w:tc>
        <w:tc>
          <w:tcPr>
            <w:tcW w:w="2977" w:type="dxa"/>
          </w:tcPr>
          <w:p w:rsidR="00801D3F" w:rsidRPr="006146D2" w:rsidRDefault="00801D3F" w:rsidP="00E21DBC">
            <w:pPr>
              <w:pStyle w:val="TableParagraph"/>
              <w:spacing w:before="50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D3F" w:rsidRPr="006146D2" w:rsidTr="00E21DBC">
        <w:trPr>
          <w:trHeight w:val="256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0"/>
              <w:ind w:left="7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Номинальное фазное напряжение, </w:t>
            </w:r>
            <w:proofErr w:type="gram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, не менее</w:t>
            </w:r>
          </w:p>
        </w:tc>
        <w:tc>
          <w:tcPr>
            <w:tcW w:w="2268" w:type="dxa"/>
          </w:tcPr>
          <w:p w:rsidR="00801D3F" w:rsidRPr="006146D2" w:rsidRDefault="00801D3F" w:rsidP="00E21DBC">
            <w:pPr>
              <w:pStyle w:val="TableParagraph"/>
              <w:spacing w:before="50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230</w:t>
            </w:r>
          </w:p>
        </w:tc>
        <w:tc>
          <w:tcPr>
            <w:tcW w:w="2977" w:type="dxa"/>
          </w:tcPr>
          <w:p w:rsidR="00801D3F" w:rsidRPr="006146D2" w:rsidRDefault="00801D3F" w:rsidP="00E21DBC">
            <w:pPr>
              <w:pStyle w:val="TableParagraph"/>
              <w:spacing w:before="50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D3F" w:rsidRPr="006146D2" w:rsidTr="00E21DBC">
        <w:trPr>
          <w:trHeight w:val="333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89"/>
              <w:ind w:left="7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Рабочий диапазон фазного напряжения, не менее</w:t>
            </w:r>
          </w:p>
        </w:tc>
        <w:tc>
          <w:tcPr>
            <w:tcW w:w="2268" w:type="dxa"/>
          </w:tcPr>
          <w:p w:rsidR="00801D3F" w:rsidRPr="006146D2" w:rsidRDefault="00801D3F" w:rsidP="00E21DBC">
            <w:pPr>
              <w:pStyle w:val="TableParagraph"/>
              <w:spacing w:before="96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(0,6 </w:t>
            </w:r>
            <w:r w:rsidRPr="006146D2">
              <w:rPr>
                <w:rFonts w:ascii="Times New Roman" w:hAnsi="Times New Roman" w:cs="Times New Roman"/>
                <w:bCs/>
                <w:color w:val="231F20"/>
                <w:w w:val="95"/>
                <w:sz w:val="24"/>
                <w:szCs w:val="24"/>
              </w:rPr>
              <w:t xml:space="preserve">… </w:t>
            </w: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1,2) U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position w:val="-4"/>
                <w:sz w:val="24"/>
                <w:szCs w:val="24"/>
              </w:rPr>
              <w:t>ном</w:t>
            </w:r>
            <w:proofErr w:type="spellEnd"/>
          </w:p>
        </w:tc>
        <w:tc>
          <w:tcPr>
            <w:tcW w:w="2977" w:type="dxa"/>
          </w:tcPr>
          <w:p w:rsidR="00801D3F" w:rsidRPr="006146D2" w:rsidRDefault="00801D3F" w:rsidP="00E21DBC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D3F" w:rsidRPr="006146D2" w:rsidTr="00E21DBC">
        <w:trPr>
          <w:trHeight w:val="256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0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Номинальная частота сети, </w:t>
            </w:r>
            <w:proofErr w:type="gram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Гц</w:t>
            </w:r>
            <w:proofErr w:type="gram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, не менее</w:t>
            </w:r>
          </w:p>
        </w:tc>
        <w:tc>
          <w:tcPr>
            <w:tcW w:w="2268" w:type="dxa"/>
          </w:tcPr>
          <w:p w:rsidR="00801D3F" w:rsidRPr="006146D2" w:rsidRDefault="00801D3F" w:rsidP="00E21DBC">
            <w:pPr>
              <w:pStyle w:val="TableParagraph"/>
              <w:spacing w:before="50"/>
              <w:ind w:left="54" w:right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(50 ± 2,5)</w:t>
            </w:r>
          </w:p>
        </w:tc>
        <w:tc>
          <w:tcPr>
            <w:tcW w:w="2977" w:type="dxa"/>
          </w:tcPr>
          <w:p w:rsidR="00801D3F" w:rsidRPr="006146D2" w:rsidRDefault="00801D3F" w:rsidP="00E21DBC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D3F" w:rsidRPr="006146D2" w:rsidTr="00E21DBC">
        <w:trPr>
          <w:trHeight w:val="272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8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Порог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чувствительности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, не менее</w:t>
            </w:r>
          </w:p>
        </w:tc>
        <w:tc>
          <w:tcPr>
            <w:tcW w:w="2268" w:type="dxa"/>
          </w:tcPr>
          <w:p w:rsidR="00801D3F" w:rsidRPr="006146D2" w:rsidRDefault="00801D3F" w:rsidP="00E21DBC">
            <w:pPr>
              <w:pStyle w:val="TableParagraph"/>
              <w:spacing w:before="66" w:line="186" w:lineRule="exact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0,002I</w:t>
            </w:r>
            <w:r w:rsidRPr="006146D2">
              <w:rPr>
                <w:rFonts w:ascii="Times New Roman" w:hAnsi="Times New Roman" w:cs="Times New Roman"/>
                <w:bCs/>
                <w:color w:val="231F20"/>
                <w:position w:val="-4"/>
                <w:sz w:val="24"/>
                <w:szCs w:val="24"/>
              </w:rPr>
              <w:t>б</w:t>
            </w:r>
          </w:p>
        </w:tc>
        <w:tc>
          <w:tcPr>
            <w:tcW w:w="2977" w:type="dxa"/>
          </w:tcPr>
          <w:p w:rsidR="00801D3F" w:rsidRPr="006146D2" w:rsidRDefault="00801D3F" w:rsidP="00E21DBC">
            <w:pPr>
              <w:pStyle w:val="TableParagraph"/>
              <w:spacing w:before="58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D3F" w:rsidRPr="006146D2" w:rsidTr="00E21DBC">
        <w:trPr>
          <w:trHeight w:val="256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0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Количество десятичных знаков ЖКИ, не менее</w:t>
            </w:r>
          </w:p>
        </w:tc>
        <w:tc>
          <w:tcPr>
            <w:tcW w:w="2268" w:type="dxa"/>
          </w:tcPr>
          <w:p w:rsidR="00801D3F" w:rsidRPr="006146D2" w:rsidRDefault="00801D3F" w:rsidP="00E21DBC">
            <w:pPr>
              <w:pStyle w:val="TableParagraph"/>
              <w:spacing w:before="50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000000,00</w:t>
            </w:r>
          </w:p>
        </w:tc>
        <w:tc>
          <w:tcPr>
            <w:tcW w:w="2977" w:type="dxa"/>
          </w:tcPr>
          <w:p w:rsidR="00801D3F" w:rsidRPr="006146D2" w:rsidRDefault="00801D3F" w:rsidP="00E21DBC">
            <w:pPr>
              <w:pStyle w:val="TableParagraph"/>
              <w:spacing w:before="50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В режиме «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Энергия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»</w:t>
            </w:r>
          </w:p>
        </w:tc>
      </w:tr>
      <w:tr w:rsidR="00801D3F" w:rsidRPr="006146D2" w:rsidTr="00E21DBC">
        <w:trPr>
          <w:trHeight w:val="424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0" w:line="249" w:lineRule="auto"/>
              <w:ind w:left="80" w:right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Полная мощность, потребляемая каждой цепью тока, не более, ВА</w:t>
            </w:r>
          </w:p>
        </w:tc>
        <w:tc>
          <w:tcPr>
            <w:tcW w:w="2268" w:type="dxa"/>
          </w:tcPr>
          <w:p w:rsidR="00801D3F" w:rsidRPr="006146D2" w:rsidRDefault="00801D3F" w:rsidP="00E21DBC">
            <w:pPr>
              <w:pStyle w:val="TableParagraph"/>
              <w:spacing w:before="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0,3</w:t>
            </w:r>
          </w:p>
        </w:tc>
        <w:tc>
          <w:tcPr>
            <w:tcW w:w="2977" w:type="dxa"/>
          </w:tcPr>
          <w:p w:rsidR="00801D3F" w:rsidRPr="006146D2" w:rsidRDefault="00801D3F" w:rsidP="00E21DBC">
            <w:pPr>
              <w:pStyle w:val="TableParagraph"/>
              <w:spacing w:before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D3F" w:rsidRPr="006146D2" w:rsidRDefault="00801D3F" w:rsidP="00E21DBC">
            <w:pPr>
              <w:pStyle w:val="TableParagraph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При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базовом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токе</w:t>
            </w:r>
            <w:proofErr w:type="spellEnd"/>
          </w:p>
        </w:tc>
      </w:tr>
      <w:tr w:rsidR="00801D3F" w:rsidRPr="006146D2" w:rsidTr="00E21DBC">
        <w:trPr>
          <w:trHeight w:val="592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0" w:line="249" w:lineRule="auto"/>
              <w:ind w:left="80" w:right="14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Полная (активная) мощность,</w:t>
            </w:r>
            <w:r w:rsidRPr="006146D2">
              <w:rPr>
                <w:rFonts w:ascii="Times New Roman" w:hAnsi="Times New Roman" w:cs="Times New Roman"/>
                <w:bCs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потребляемая каждой цепью напряжения, с учетом потребления модулями связи, не более,</w:t>
            </w:r>
            <w:r w:rsidRPr="006146D2">
              <w:rPr>
                <w:rFonts w:ascii="Times New Roman" w:hAnsi="Times New Roman" w:cs="Times New Roman"/>
                <w:bCs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ВА/Вт</w:t>
            </w:r>
          </w:p>
        </w:tc>
        <w:tc>
          <w:tcPr>
            <w:tcW w:w="2268" w:type="dxa"/>
          </w:tcPr>
          <w:p w:rsidR="00801D3F" w:rsidRPr="006146D2" w:rsidRDefault="00801D3F" w:rsidP="00E21DBC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15/2</w:t>
            </w:r>
          </w:p>
        </w:tc>
        <w:tc>
          <w:tcPr>
            <w:tcW w:w="2977" w:type="dxa"/>
          </w:tcPr>
          <w:p w:rsidR="00801D3F" w:rsidRPr="006146D2" w:rsidRDefault="00801D3F" w:rsidP="00E21DBC">
            <w:pPr>
              <w:pStyle w:val="TableParagraph"/>
              <w:spacing w:before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D3F" w:rsidRPr="006146D2" w:rsidRDefault="00801D3F" w:rsidP="00E21DBC">
            <w:pPr>
              <w:pStyle w:val="TableParagraph"/>
              <w:spacing w:line="249" w:lineRule="auto"/>
              <w:ind w:left="80" w:right="24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При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номинальном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значении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напряжения</w:t>
            </w:r>
            <w:proofErr w:type="spellEnd"/>
          </w:p>
        </w:tc>
      </w:tr>
      <w:tr w:rsidR="00801D3F" w:rsidRPr="006146D2" w:rsidTr="00E21DBC">
        <w:trPr>
          <w:trHeight w:val="501"/>
        </w:trPr>
        <w:tc>
          <w:tcPr>
            <w:tcW w:w="4111" w:type="dxa"/>
            <w:tcBorders>
              <w:bottom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Ток, потребляемый каждой цепью напряжения, не более, 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2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При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номинальном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напряжении</w:t>
            </w:r>
            <w:proofErr w:type="spellEnd"/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Суммарная мощность потребления модулей связи по цепям напряжения, не более,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ВАв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/Вт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0" w:right="4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9/0,5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24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При номинальном напряжении</w:t>
            </w: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Предел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осн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. абсолютной погрешности хода часов, не хуже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± 0,5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c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/сутки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При нормальной температуре</w:t>
            </w: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lastRenderedPageBreak/>
              <w:t>Длительность хранения информации,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При отключении питания</w:t>
            </w: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Количество тарифов,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Количество тарифных зон в сутках,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Количество сезонных расписаний в году,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Количество исключительных дней,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Количество суточных тарифных расписаний,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Количество зон контроля мощности в сутках,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Количество расписаний контроля мощности,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Время усреднения мощности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1; 2; 3; 4; 5; 6; 10;</w:t>
            </w: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12; 15; 20; 30; 60</w:t>
            </w: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Глубина хранения месячных энергий по тарифам и фазам,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40 месяцев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Текущий и 39 предыдущих</w:t>
            </w: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Глубина хранения суточных энергий, накопленных по тарифам и фазам,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54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128 суток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Текущие и 127 предыдущих</w:t>
            </w: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Глубина хранения годовых энергий, накопленных по тарифам и фазам,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Текущий и 9 предыдущих</w:t>
            </w: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Глубина хранения энергий событий по тарифам и фазам,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20 событий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Глубина хранения месячных максимумов мощности по трем зонам контроля,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13 месяцев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1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Текущий и 12 предыдущих</w:t>
            </w: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Количество параметров в профиле,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до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Глубина хранения профиля, суток,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522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При времени усреднения 30 мин</w:t>
            </w: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Время усреднения профилей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1; 2; 3; 4; 5; 6; 10;</w:t>
            </w: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12; 15; 20; 30; 60</w:t>
            </w: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Номинальное (допустимое) напряжение электрических импульсных выходов,</w:t>
            </w:r>
          </w:p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10 (24) 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Напряжение постоянного тока</w:t>
            </w: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lastRenderedPageBreak/>
              <w:t>Номинальное (допустимое) значение тока электрических импульсных выходов,</w:t>
            </w:r>
          </w:p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10 (30) 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Напряжение постоянного тока</w:t>
            </w: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Длительность выходных импульсов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54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35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м</w:t>
            </w:r>
            <w:proofErr w:type="gram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c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63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Скорость обмена по интерфейсам: </w:t>
            </w: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63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бод </w:t>
            </w: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63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Оптопорт</w:t>
            </w:r>
            <w:proofErr w:type="spellEnd"/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Радиоинтерфейс</w:t>
            </w:r>
            <w:proofErr w:type="spellEnd"/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gram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б</w:t>
            </w:r>
            <w:proofErr w:type="gram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/с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300…19 200</w:t>
            </w: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9 600</w:t>
            </w: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tabs>
                <w:tab w:val="left" w:pos="193"/>
              </w:tabs>
              <w:spacing w:before="89" w:line="249" w:lineRule="auto"/>
              <w:ind w:left="80" w:right="202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Время обновления показаний счетчика,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54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Начальный запуск,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54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5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66" w:right="137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С момента подачи напряжения</w:t>
            </w: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Масса счетчика,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54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2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Масса счетчика в коробке, комплект,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2,5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Габаритные размеры (высота; ширина; длина), не более, </w:t>
            </w:r>
            <w:proofErr w:type="gram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98,5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x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188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x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Габаритные размеры упаковочной коробки счетчика (высота; ширина; длина), </w:t>
            </w:r>
            <w:proofErr w:type="gram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54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112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x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245 </w:t>
            </w: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x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313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66" w:righ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Средняя наработка до отказа,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220 000 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Средний срок службы,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Средний срок службы встроенной батареи, лет,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Средний срок службы сменной батареи, лет,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Допустимое коммутируемое напряжение на контактах реле управления нагрузкой, не более, </w:t>
            </w:r>
            <w:proofErr w:type="gram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Переменного тока</w:t>
            </w: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Максимальный ток реле при выполнении операции отключения/включения</w:t>
            </w:r>
          </w:p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(без приваривания контактов реле),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110 (1,1*</w:t>
            </w:r>
            <w:proofErr w:type="spellStart"/>
            <w:proofErr w:type="gram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I</w:t>
            </w:r>
            <w:proofErr w:type="gram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макс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Коммутационная электрическая износостойкость контактов реле, циклов,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0" w:right="4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Межповерочный</w:t>
            </w:r>
            <w:proofErr w:type="spellEnd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интервал, лет,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</w:tbl>
    <w:p w:rsidR="00801D3F" w:rsidRPr="006146D2" w:rsidRDefault="00801D3F" w:rsidP="00801D3F">
      <w:pPr>
        <w:pStyle w:val="111"/>
        <w:numPr>
          <w:ilvl w:val="0"/>
          <w:numId w:val="0"/>
        </w:numPr>
        <w:ind w:left="1428"/>
      </w:pPr>
    </w:p>
    <w:p w:rsidR="00801D3F" w:rsidRPr="006146D2" w:rsidRDefault="00801D3F" w:rsidP="00801D3F">
      <w:pPr>
        <w:pStyle w:val="a6"/>
        <w:numPr>
          <w:ilvl w:val="1"/>
          <w:numId w:val="39"/>
        </w:numPr>
        <w:ind w:left="1140" w:hanging="420"/>
        <w:rPr>
          <w:rFonts w:ascii="Times New Roman" w:hAnsi="Times New Roman" w:cs="Times New Roman"/>
          <w:b/>
          <w:sz w:val="24"/>
          <w:szCs w:val="24"/>
        </w:rPr>
      </w:pPr>
      <w:r w:rsidRPr="006146D2">
        <w:rPr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счетчикам электроэнергии CE208 C4.846.2.OGR1.QYUDVFZ GB01 SPDS или аналог (</w:t>
      </w:r>
      <w:proofErr w:type="spellStart"/>
      <w:r w:rsidRPr="006146D2">
        <w:rPr>
          <w:rFonts w:ascii="Times New Roman" w:hAnsi="Times New Roman" w:cs="Times New Roman"/>
          <w:b/>
          <w:sz w:val="24"/>
          <w:szCs w:val="24"/>
        </w:rPr>
        <w:t>сплит</w:t>
      </w:r>
      <w:proofErr w:type="spellEnd"/>
      <w:r w:rsidRPr="006146D2">
        <w:rPr>
          <w:rFonts w:ascii="Times New Roman" w:hAnsi="Times New Roman" w:cs="Times New Roman"/>
          <w:b/>
          <w:sz w:val="24"/>
          <w:szCs w:val="24"/>
        </w:rPr>
        <w:t>).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Счетчик должен быть однофазным многофункциональным и предназначен для измерения активной и реактивной электрической энергии в одном или двух направлениях в однофазных двухпроводных цепях переменного тока и организации 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многотарифного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Счетчик должен удовлетворять требованиям ГОСТ 31818.11-2012, ГОСТ 31819.21-2012 в части измерения активной энергии и ГОСТ 31819.23-2012 в части измерения реактивной энергии. 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Конструктивно счетчик должен быть разделен на две части: измерительный блок и внешний дисплей, входящий в комплект поставки. Измерительный блок должен выполнять всю функциональность 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многотарифного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 xml:space="preserve"> счетчика, за исключением индикации показаний, и осуществляет передачу информационных данных для автоматизированных информационно-измерительных систем коммерческого учета электроэнергии АИИС КУЭ (АСКУЭ). Связь между измерительным блоком и внешним дисплеем должна осуществляться по 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радиоинтерфейсу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>.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Счетчик наружной установки со встроенным GSM-модемом должен работать в сети подвижной радиотелефонной связи стандарта GSM900/1800 в режиме пакетной передачи данных, как клиент или сервер TCP/IP, с использованием технологии GPRS и в режиме канальной передачи данных с использованием технологии CSD. 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Измерительный блок должен устанавливаться без дополнительной защиты от влияния окружающей среды на опоре линии электропередачи.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Внешний дисплей должен использоваться внутри помещений для просмотра потребителем показаний с измерительного блока.</w:t>
      </w:r>
    </w:p>
    <w:p w:rsidR="00801D3F" w:rsidRPr="006146D2" w:rsidRDefault="00801D3F" w:rsidP="00801D3F">
      <w:pPr>
        <w:pStyle w:val="a0"/>
        <w:spacing w:before="3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Основные технические характеристики.</w:t>
      </w: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1"/>
        <w:gridCol w:w="2410"/>
        <w:gridCol w:w="2835"/>
      </w:tblGrid>
      <w:tr w:rsidR="00801D3F" w:rsidRPr="006146D2" w:rsidTr="00E21DBC">
        <w:trPr>
          <w:trHeight w:val="256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0"/>
              <w:ind w:left="10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10" w:type="dxa"/>
          </w:tcPr>
          <w:p w:rsidR="00801D3F" w:rsidRPr="006146D2" w:rsidRDefault="00801D3F" w:rsidP="00E21DBC">
            <w:pPr>
              <w:pStyle w:val="TableParagraph"/>
              <w:spacing w:before="50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2835" w:type="dxa"/>
          </w:tcPr>
          <w:p w:rsidR="00801D3F" w:rsidRPr="006146D2" w:rsidRDefault="00801D3F" w:rsidP="00E21DBC">
            <w:pPr>
              <w:pStyle w:val="TableParagraph"/>
              <w:spacing w:before="50"/>
              <w:ind w:left="7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46D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Примечание</w:t>
            </w:r>
            <w:proofErr w:type="spellEnd"/>
          </w:p>
        </w:tc>
      </w:tr>
      <w:tr w:rsidR="00801D3F" w:rsidRPr="006146D2" w:rsidTr="00E21DBC">
        <w:trPr>
          <w:trHeight w:val="256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0"/>
              <w:ind w:left="7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Диапазон рабочих напряжений, не менее</w:t>
            </w:r>
          </w:p>
        </w:tc>
        <w:tc>
          <w:tcPr>
            <w:tcW w:w="2410" w:type="dxa"/>
          </w:tcPr>
          <w:p w:rsidR="00801D3F" w:rsidRPr="006146D2" w:rsidRDefault="00801D3F" w:rsidP="00E21DBC">
            <w:pPr>
              <w:pStyle w:val="TableParagraph"/>
              <w:spacing w:before="50"/>
              <w:ind w:left="54" w:right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(0,55 </w:t>
            </w:r>
            <w:r w:rsidRPr="006146D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… </w:t>
            </w: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1,2) U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position w:val="-4"/>
                <w:sz w:val="24"/>
                <w:szCs w:val="24"/>
              </w:rPr>
              <w:t>ном</w:t>
            </w:r>
            <w:proofErr w:type="spellEnd"/>
          </w:p>
        </w:tc>
        <w:tc>
          <w:tcPr>
            <w:tcW w:w="2835" w:type="dxa"/>
          </w:tcPr>
          <w:p w:rsidR="00801D3F" w:rsidRPr="006146D2" w:rsidRDefault="00801D3F" w:rsidP="00E21DBC">
            <w:pPr>
              <w:pStyle w:val="TableParagraph"/>
              <w:spacing w:before="50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D3F" w:rsidRPr="006146D2" w:rsidTr="00E21DBC">
        <w:trPr>
          <w:trHeight w:val="256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0"/>
              <w:ind w:left="7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Номинальная частота сети, не менее</w:t>
            </w:r>
          </w:p>
        </w:tc>
        <w:tc>
          <w:tcPr>
            <w:tcW w:w="2410" w:type="dxa"/>
          </w:tcPr>
          <w:p w:rsidR="00801D3F" w:rsidRPr="006146D2" w:rsidRDefault="00801D3F" w:rsidP="00E21DBC">
            <w:pPr>
              <w:pStyle w:val="TableParagraph"/>
              <w:spacing w:before="50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(50 ± 2,5)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2835" w:type="dxa"/>
          </w:tcPr>
          <w:p w:rsidR="00801D3F" w:rsidRPr="006146D2" w:rsidRDefault="00801D3F" w:rsidP="00E21DBC">
            <w:pPr>
              <w:pStyle w:val="TableParagraph"/>
              <w:spacing w:before="50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D3F" w:rsidRPr="006146D2" w:rsidTr="00E21DBC">
        <w:trPr>
          <w:trHeight w:val="256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0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Стартовый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ток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не более</w:t>
            </w:r>
          </w:p>
        </w:tc>
        <w:tc>
          <w:tcPr>
            <w:tcW w:w="2410" w:type="dxa"/>
          </w:tcPr>
          <w:p w:rsidR="00801D3F" w:rsidRPr="006146D2" w:rsidRDefault="00801D3F" w:rsidP="00E21DBC">
            <w:pPr>
              <w:pStyle w:val="TableParagraph"/>
              <w:spacing w:before="50"/>
              <w:ind w:left="54" w:right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2835" w:type="dxa"/>
          </w:tcPr>
          <w:p w:rsidR="00801D3F" w:rsidRPr="006146D2" w:rsidRDefault="00801D3F" w:rsidP="00E21DBC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D3F" w:rsidRPr="006146D2" w:rsidTr="00E21DBC">
        <w:trPr>
          <w:trHeight w:val="272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8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Полная мощность, потребляемая каждой цепью тока, не более</w:t>
            </w:r>
          </w:p>
        </w:tc>
        <w:tc>
          <w:tcPr>
            <w:tcW w:w="2410" w:type="dxa"/>
          </w:tcPr>
          <w:p w:rsidR="00801D3F" w:rsidRPr="006146D2" w:rsidRDefault="00801D3F" w:rsidP="00E21DBC">
            <w:pPr>
              <w:pStyle w:val="TableParagraph"/>
              <w:spacing w:before="66" w:line="186" w:lineRule="exact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0,5 (В•А) для исполнения </w:t>
            </w: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Q</w:t>
            </w: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0,05 (В•А) для остальных исполнений</w:t>
            </w:r>
          </w:p>
        </w:tc>
        <w:tc>
          <w:tcPr>
            <w:tcW w:w="2835" w:type="dxa"/>
          </w:tcPr>
          <w:p w:rsidR="00801D3F" w:rsidRPr="006146D2" w:rsidRDefault="00801D3F" w:rsidP="00E21DB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58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базовом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токе</w:t>
            </w:r>
            <w:proofErr w:type="spellEnd"/>
          </w:p>
        </w:tc>
      </w:tr>
      <w:tr w:rsidR="00801D3F" w:rsidRPr="006146D2" w:rsidTr="00E21DBC">
        <w:trPr>
          <w:trHeight w:val="256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0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Полная (активная) мощность, потребляемая цепью напряжения счетчика (без учета потребления модулей связи) при номинальном значении напряжения, не более</w:t>
            </w:r>
          </w:p>
        </w:tc>
        <w:tc>
          <w:tcPr>
            <w:tcW w:w="2410" w:type="dxa"/>
          </w:tcPr>
          <w:p w:rsidR="00801D3F" w:rsidRPr="006146D2" w:rsidRDefault="00801D3F" w:rsidP="00E21D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50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10 В•А (2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Вт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01D3F" w:rsidRPr="006146D2" w:rsidRDefault="00801D3F" w:rsidP="00E21DBC">
            <w:pPr>
              <w:pStyle w:val="TableParagraph"/>
              <w:spacing w:before="50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rPr>
          <w:trHeight w:val="424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spacing w:before="50" w:line="249" w:lineRule="auto"/>
              <w:ind w:left="80" w:right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Активная мощность, </w:t>
            </w:r>
            <w:r w:rsidRPr="006146D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потребляемая встроенными </w:t>
            </w: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модулями связи, при номинальном значении напряжения, не более</w:t>
            </w:r>
          </w:p>
        </w:tc>
        <w:tc>
          <w:tcPr>
            <w:tcW w:w="2410" w:type="dxa"/>
          </w:tcPr>
          <w:p w:rsidR="00801D3F" w:rsidRPr="006146D2" w:rsidRDefault="00801D3F" w:rsidP="00E21D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835" w:type="dxa"/>
          </w:tcPr>
          <w:p w:rsidR="00801D3F" w:rsidRPr="006146D2" w:rsidRDefault="00801D3F" w:rsidP="00E21DBC">
            <w:pPr>
              <w:pStyle w:val="TableParagraph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D3F" w:rsidRPr="006146D2" w:rsidTr="00E21DBC">
        <w:trPr>
          <w:trHeight w:val="592"/>
        </w:trPr>
        <w:tc>
          <w:tcPr>
            <w:tcW w:w="4111" w:type="dxa"/>
          </w:tcPr>
          <w:p w:rsidR="00801D3F" w:rsidRPr="006146D2" w:rsidRDefault="00801D3F" w:rsidP="00E21D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50" w:line="249" w:lineRule="auto"/>
              <w:ind w:left="80" w:right="14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Ток собственного потреблени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</w:t>
            </w: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не более</w:t>
            </w:r>
          </w:p>
        </w:tc>
        <w:tc>
          <w:tcPr>
            <w:tcW w:w="2410" w:type="dxa"/>
          </w:tcPr>
          <w:p w:rsidR="00801D3F" w:rsidRPr="006146D2" w:rsidRDefault="00801D3F" w:rsidP="00E21DBC">
            <w:pPr>
              <w:pStyle w:val="TableParagraph"/>
              <w:spacing w:before="27"/>
              <w:ind w:left="285" w:right="86" w:hanging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 учетом потребления </w:t>
            </w:r>
            <w:r w:rsidRPr="006146D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модулей </w:t>
            </w:r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связи – не более 0,109</w:t>
            </w:r>
            <w:r w:rsidRPr="006146D2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А.</w:t>
            </w:r>
          </w:p>
          <w:p w:rsidR="00801D3F" w:rsidRPr="006146D2" w:rsidRDefault="00801D3F" w:rsidP="00E21DBC">
            <w:pPr>
              <w:pStyle w:val="TableParagraph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без учета потребления</w:t>
            </w:r>
            <w:r w:rsidRPr="006146D2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6146D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модулей </w:t>
            </w:r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связи – не </w:t>
            </w:r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более 0,044</w:t>
            </w:r>
            <w:r w:rsidRPr="006146D2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А.</w:t>
            </w:r>
          </w:p>
        </w:tc>
        <w:tc>
          <w:tcPr>
            <w:tcW w:w="2835" w:type="dxa"/>
          </w:tcPr>
          <w:p w:rsidR="00801D3F" w:rsidRPr="006146D2" w:rsidRDefault="00801D3F" w:rsidP="00E21D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line="249" w:lineRule="auto"/>
              <w:ind w:left="80" w:right="24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номинальном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напряжении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сети</w:t>
            </w:r>
            <w:proofErr w:type="spellEnd"/>
          </w:p>
        </w:tc>
      </w:tr>
      <w:tr w:rsidR="00801D3F" w:rsidRPr="006146D2" w:rsidTr="00E21DBC">
        <w:trPr>
          <w:trHeight w:val="501"/>
        </w:trPr>
        <w:tc>
          <w:tcPr>
            <w:tcW w:w="4111" w:type="dxa"/>
            <w:tcBorders>
              <w:bottom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Пределы основной абсолютной погрешности хода часов, не хуже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ind w:left="54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± </w:t>
            </w:r>
            <w:r w:rsidRPr="006146D2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0,5 c </w:t>
            </w:r>
            <w:r w:rsidRPr="006146D2">
              <w:rPr>
                <w:rFonts w:ascii="Times New Roman" w:hAnsi="Times New Roman" w:cs="Times New Roman"/>
                <w:color w:val="231F20"/>
                <w:w w:val="170"/>
                <w:sz w:val="24"/>
                <w:szCs w:val="24"/>
              </w:rPr>
              <w:t xml:space="preserve">/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сутки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2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Длительность хранения информации при отключении питания,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Количество тарифов в суточном расписании,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до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зависимости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исполнения</w:t>
            </w:r>
            <w:proofErr w:type="spellEnd"/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Количество тарифных зон в сутках,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Количество сезонных расписаний в году,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Количество исключительных дней,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до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Количество суточных тарифных расписаний,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Количество зон контроля мощности в сутках,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Количество расписаний зон контроля мощности,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Время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усреднения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мощности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27" w:line="161" w:lineRule="exact"/>
              <w:ind w:left="78" w:right="6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1; 2; 3; 4; 5;</w:t>
            </w:r>
          </w:p>
          <w:p w:rsidR="00801D3F" w:rsidRPr="006146D2" w:rsidRDefault="00801D3F" w:rsidP="00E21DBC">
            <w:pPr>
              <w:pStyle w:val="TableParagraph"/>
              <w:spacing w:before="27" w:line="161" w:lineRule="exact"/>
              <w:ind w:left="78" w:right="6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6; 10; 12;</w:t>
            </w:r>
          </w:p>
          <w:p w:rsidR="00801D3F" w:rsidRPr="006146D2" w:rsidRDefault="00801D3F" w:rsidP="00E21DBC">
            <w:pPr>
              <w:pStyle w:val="TableParagraph"/>
              <w:spacing w:before="27" w:line="161" w:lineRule="exact"/>
              <w:ind w:left="78" w:right="6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15; 20;</w:t>
            </w:r>
          </w:p>
          <w:p w:rsidR="00801D3F" w:rsidRPr="006146D2" w:rsidRDefault="00801D3F" w:rsidP="00E21DBC">
            <w:pPr>
              <w:pStyle w:val="TableParagraph"/>
              <w:spacing w:before="27" w:line="161" w:lineRule="exact"/>
              <w:ind w:left="78" w:right="6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30;</w:t>
            </w:r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60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Количество учитываемых </w:t>
            </w: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тарифов по событиям,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54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Тариф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9 и 10</w:t>
            </w: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Глубина хранения месячных энергий по тарифам,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40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Текущий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39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предыдущих</w:t>
            </w:r>
            <w:proofErr w:type="spellEnd"/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27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Глубина хранения суточных энергий, накопленных</w:t>
            </w: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 тарифам,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128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суток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Текущие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127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предыдущих</w:t>
            </w:r>
            <w:proofErr w:type="spellEnd"/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28"/>
              <w:ind w:left="80" w:right="3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Глубина хранения годовых энергий, накопленных</w:t>
            </w: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 тарифам,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1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Текущий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9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предыдущих</w:t>
            </w:r>
            <w:proofErr w:type="spellEnd"/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Глубина хранения энергий событий по тарифам,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событий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Глубина хранения месячных максимумов мощности по трем зонам контроля мощности,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13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522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Текущий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12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предыдущих</w:t>
            </w:r>
            <w:proofErr w:type="spellEnd"/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Количество параметров в профиле,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Глубина хранения профиля, суток,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времени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усреднения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30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</w:t>
            </w:r>
            <w:proofErr w:type="spellEnd"/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Время усреднения профилей нагрузки,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27" w:line="161" w:lineRule="exact"/>
              <w:ind w:left="78" w:right="6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1; 2; 3; 4; 5;</w:t>
            </w:r>
          </w:p>
          <w:p w:rsidR="00801D3F" w:rsidRPr="006146D2" w:rsidRDefault="00801D3F" w:rsidP="00E21DBC">
            <w:pPr>
              <w:pStyle w:val="TableParagraph"/>
              <w:spacing w:before="27" w:line="161" w:lineRule="exact"/>
              <w:ind w:left="78" w:right="6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6; 10; 12;</w:t>
            </w:r>
          </w:p>
          <w:p w:rsidR="00801D3F" w:rsidRPr="006146D2" w:rsidRDefault="00801D3F" w:rsidP="00E21DBC">
            <w:pPr>
              <w:pStyle w:val="TableParagraph"/>
              <w:spacing w:before="27" w:line="161" w:lineRule="exact"/>
              <w:ind w:left="7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15; 20 30,</w:t>
            </w:r>
          </w:p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60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Скорость обмена через оптический порт,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300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19 200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tabs>
                <w:tab w:val="left" w:pos="193"/>
              </w:tabs>
              <w:spacing w:before="89" w:line="249" w:lineRule="auto"/>
              <w:ind w:left="80" w:right="202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Скорость обмена через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радиоинтерфейсу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54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9 600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Время обновления показаний счетчика,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54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66" w:right="137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Начальный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запуск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момента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подачи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напряжения</w:t>
            </w:r>
            <w:proofErr w:type="spellEnd"/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Масса счетчика (измерительного блока), не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5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1,5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Габаритные размеры (длина; ширина; высота), не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230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мм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; 160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мм</w:t>
            </w:r>
            <w:proofErr w:type="spell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; 79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Средняя наработка до отказа,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220 000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Средний срок службы,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30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Срок службы встроенной батарейки</w:t>
            </w:r>
            <w:proofErr w:type="gramStart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 w:right="43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16 </w:t>
            </w:r>
            <w:proofErr w:type="spellStart"/>
            <w:r w:rsidRPr="006146D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Максимальный ток реле управления нагрузкой при выполнении операции отключения </w:t>
            </w:r>
            <w:r w:rsidRPr="006146D2">
              <w:rPr>
                <w:rFonts w:ascii="Times New Roman" w:hAnsi="Times New Roman" w:cs="Times New Roman"/>
                <w:color w:val="231F20"/>
                <w:w w:val="165"/>
                <w:sz w:val="24"/>
                <w:szCs w:val="24"/>
                <w:lang w:val="ru-RU"/>
              </w:rPr>
              <w:t xml:space="preserve">/ </w:t>
            </w:r>
            <w:r w:rsidRPr="006146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включения (без </w:t>
            </w: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приваривания контактов реле),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ableParagraph"/>
              <w:spacing w:before="89"/>
              <w:ind w:left="8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1,1∙Iмакс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</w:tr>
      <w:tr w:rsidR="00801D3F" w:rsidRPr="006146D2" w:rsidTr="00E2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 w:line="249" w:lineRule="auto"/>
              <w:ind w:left="8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6146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Коммутационная износостойкость контактов реле,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1D3F" w:rsidRPr="006146D2" w:rsidRDefault="00801D3F" w:rsidP="00E21DBC">
            <w:pPr>
              <w:pStyle w:val="Twordsign"/>
              <w:framePr w:wrap="around"/>
              <w:rPr>
                <w:rFonts w:ascii="Times New Roman" w:hAnsi="Times New Roman"/>
                <w:b/>
                <w:i w:val="0"/>
                <w:iCs/>
                <w:sz w:val="24"/>
              </w:rPr>
            </w:pPr>
            <w:r w:rsidRPr="006146D2">
              <w:rPr>
                <w:rFonts w:ascii="Times New Roman" w:hAnsi="Times New Roman"/>
                <w:i w:val="0"/>
                <w:iCs/>
                <w:color w:val="231F20"/>
                <w:sz w:val="24"/>
              </w:rPr>
              <w:t xml:space="preserve">1 000 </w:t>
            </w:r>
            <w:proofErr w:type="spellStart"/>
            <w:r w:rsidRPr="006146D2">
              <w:rPr>
                <w:rFonts w:ascii="Times New Roman" w:hAnsi="Times New Roman"/>
                <w:i w:val="0"/>
                <w:iCs/>
                <w:color w:val="231F20"/>
                <w:sz w:val="24"/>
              </w:rPr>
              <w:t>циклов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F" w:rsidRPr="006146D2" w:rsidRDefault="00801D3F" w:rsidP="00E21DBC">
            <w:pPr>
              <w:pStyle w:val="TableParagraph"/>
              <w:spacing w:before="89"/>
              <w:ind w:left="8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</w:tbl>
    <w:p w:rsidR="00801D3F" w:rsidRPr="006146D2" w:rsidRDefault="00801D3F" w:rsidP="00801D3F">
      <w:pPr>
        <w:pStyle w:val="111"/>
        <w:numPr>
          <w:ilvl w:val="0"/>
          <w:numId w:val="0"/>
        </w:numPr>
        <w:ind w:left="1428"/>
        <w:rPr>
          <w:rFonts w:ascii="Times New Roman" w:hAnsi="Times New Roman" w:cs="Times New Roman"/>
          <w:sz w:val="24"/>
          <w:szCs w:val="24"/>
        </w:rPr>
      </w:pPr>
    </w:p>
    <w:p w:rsidR="00801D3F" w:rsidRPr="006146D2" w:rsidRDefault="00801D3F" w:rsidP="00801D3F">
      <w:pPr>
        <w:pStyle w:val="111"/>
        <w:numPr>
          <w:ilvl w:val="0"/>
          <w:numId w:val="0"/>
        </w:numPr>
        <w:ind w:left="1428"/>
        <w:rPr>
          <w:rFonts w:ascii="Times New Roman" w:hAnsi="Times New Roman" w:cs="Times New Roman"/>
          <w:sz w:val="24"/>
          <w:szCs w:val="24"/>
        </w:rPr>
      </w:pPr>
    </w:p>
    <w:p w:rsidR="00801D3F" w:rsidRPr="006146D2" w:rsidRDefault="00801D3F" w:rsidP="00801D3F">
      <w:pPr>
        <w:pStyle w:val="a6"/>
        <w:numPr>
          <w:ilvl w:val="1"/>
          <w:numId w:val="39"/>
        </w:numPr>
        <w:ind w:left="1140" w:hanging="4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46D2">
        <w:rPr>
          <w:rFonts w:ascii="Times New Roman" w:hAnsi="Times New Roman" w:cs="Times New Roman"/>
          <w:b/>
          <w:sz w:val="24"/>
          <w:szCs w:val="24"/>
        </w:rPr>
        <w:t>Основные требования к счетчикам электроэнергии СЕ308 S34.746.OA.QYUVLFZ SPDS , СЕ308 S34.746.OG.QYUVLFZ GS01 SPDS, СЕ308, S34.746.OP.QYUVLFZ PL03 SPDS, CE308 S31.503.OAA.SYUVJLFZ SPDS , CE308 S31.503.OAG.SYUVJLFZ GS01 SPDS, CE308 S31.543.OAA.SYUVJLFZ SPDS, CE308 S31.543.OAG.SYUVJLFZ GS01 SPDS, CE308 S31.543.OAP.SYUVJLFZ PL03 SPDS, CE308 S31</w:t>
      </w:r>
      <w:proofErr w:type="gramEnd"/>
      <w:r w:rsidRPr="006146D2">
        <w:rPr>
          <w:rFonts w:ascii="Times New Roman" w:hAnsi="Times New Roman" w:cs="Times New Roman"/>
          <w:b/>
          <w:sz w:val="24"/>
          <w:szCs w:val="24"/>
        </w:rPr>
        <w:t>.746.OA.YUVLFZ SPDS, CE308 S31.746.OG.YUVLFZ DS01 SPDS, CE308 S31.746.OP.YUVLFZ PL03 SPDS, CE208 S7.846.2.OG.QYUVFLZ GS01 SPDS или аналог.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Счетчик должен быть трехфазным, трансформаторного или непосредственного включения (в зависимости  от варианта исполнения) и предназначен для измерения активной и реактивной электрической энергии    в трехфазных </w:t>
      </w:r>
      <w:proofErr w:type="spellStart"/>
      <w:r w:rsidRPr="006146D2">
        <w:rPr>
          <w:rFonts w:ascii="Times New Roman" w:hAnsi="Times New Roman" w:cs="Times New Roman"/>
          <w:sz w:val="24"/>
          <w:szCs w:val="24"/>
        </w:rPr>
        <w:t>четырехпроводных</w:t>
      </w:r>
      <w:proofErr w:type="spellEnd"/>
      <w:r w:rsidRPr="006146D2">
        <w:rPr>
          <w:rFonts w:ascii="Times New Roman" w:hAnsi="Times New Roman" w:cs="Times New Roman"/>
          <w:sz w:val="24"/>
          <w:szCs w:val="24"/>
        </w:rPr>
        <w:t xml:space="preserve"> цепях переменного тока.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Счетчик подключается к трехфазной сети переменного тока и устанавливается в закрытых помещениях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Счетчик со встроенным GSM-модемом должен работать в сети подвижной радиотелефонной связи стандарта GSM900/1800 в режиме пакетной передачи данных, как клиент или сервер TCP/IP, с использованием технологии GPRS и в режиме канальной передачи данных с использованием технологии CSD. </w:t>
      </w:r>
    </w:p>
    <w:p w:rsidR="00801D3F" w:rsidRPr="006146D2" w:rsidRDefault="00801D3F" w:rsidP="00801D3F">
      <w:pPr>
        <w:pStyle w:val="111"/>
        <w:numPr>
          <w:ilvl w:val="0"/>
          <w:numId w:val="0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lastRenderedPageBreak/>
        <w:t>Основные технические характеристики.</w:t>
      </w:r>
    </w:p>
    <w:tbl>
      <w:tblPr>
        <w:tblW w:w="9543" w:type="dxa"/>
        <w:jc w:val="center"/>
        <w:tblLook w:val="04A0"/>
      </w:tblPr>
      <w:tblGrid>
        <w:gridCol w:w="2302"/>
        <w:gridCol w:w="2162"/>
        <w:gridCol w:w="2232"/>
        <w:gridCol w:w="2625"/>
        <w:gridCol w:w="222"/>
      </w:tblGrid>
      <w:tr w:rsidR="00801D3F" w:rsidRPr="006146D2" w:rsidTr="00E21DBC">
        <w:trPr>
          <w:gridAfter w:val="1"/>
          <w:wAfter w:w="222" w:type="dxa"/>
          <w:trHeight w:val="645"/>
          <w:jc w:val="center"/>
        </w:trPr>
        <w:tc>
          <w:tcPr>
            <w:tcW w:w="3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Наименование характеристики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Значение характеристики</w:t>
            </w:r>
          </w:p>
        </w:tc>
        <w:tc>
          <w:tcPr>
            <w:tcW w:w="262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Примечание</w:t>
            </w:r>
          </w:p>
        </w:tc>
      </w:tr>
      <w:tr w:rsidR="00801D3F" w:rsidRPr="006146D2" w:rsidTr="00E21DBC">
        <w:trPr>
          <w:gridAfter w:val="1"/>
          <w:wAfter w:w="222" w:type="dxa"/>
          <w:trHeight w:val="102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Номинальные (максимальные) токи, А,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lang w:eastAsia="ru-RU"/>
              </w:rPr>
              <w:t>5(10)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T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рансформаторное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 включение</w:t>
            </w:r>
          </w:p>
        </w:tc>
      </w:tr>
      <w:tr w:rsidR="00801D3F" w:rsidRPr="006146D2" w:rsidTr="00E21DBC">
        <w:trPr>
          <w:gridAfter w:val="1"/>
          <w:wAfter w:w="222" w:type="dxa"/>
          <w:trHeight w:val="96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Базовые (максимальные) токи, А,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lang w:eastAsia="ru-RU"/>
              </w:rPr>
              <w:t>5(60); 5(100)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Непосредственное включение</w:t>
            </w:r>
          </w:p>
        </w:tc>
      </w:tr>
      <w:tr w:rsidR="00801D3F" w:rsidRPr="006146D2" w:rsidTr="00E21DBC">
        <w:trPr>
          <w:gridAfter w:val="1"/>
          <w:wAfter w:w="222" w:type="dxa"/>
          <w:trHeight w:val="645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 </w:t>
            </w:r>
          </w:p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Номинальное фазное напряжение, 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В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57,7; 230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T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рансформаторное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 включение</w:t>
            </w:r>
          </w:p>
        </w:tc>
      </w:tr>
      <w:tr w:rsidR="00801D3F" w:rsidRPr="006146D2" w:rsidTr="00E21DBC">
        <w:trPr>
          <w:gridAfter w:val="1"/>
          <w:wAfter w:w="222" w:type="dxa"/>
          <w:trHeight w:val="960"/>
          <w:jc w:val="center"/>
        </w:trPr>
        <w:tc>
          <w:tcPr>
            <w:tcW w:w="363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230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Непосредственное включение</w:t>
            </w:r>
          </w:p>
        </w:tc>
      </w:tr>
      <w:tr w:rsidR="00801D3F" w:rsidRPr="006146D2" w:rsidTr="00E21DBC">
        <w:trPr>
          <w:gridAfter w:val="1"/>
          <w:wAfter w:w="222" w:type="dxa"/>
          <w:trHeight w:val="159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Рабочее фазное напряжение, 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В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 xml:space="preserve">(0,6 (0,75)* … 1,21) </w:t>
            </w: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U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ном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*– для счетчиков с номинальным напряжением 57,7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 xml:space="preserve"> В</w:t>
            </w:r>
            <w:proofErr w:type="gramEnd"/>
          </w:p>
        </w:tc>
      </w:tr>
      <w:tr w:rsidR="00801D3F" w:rsidRPr="006146D2" w:rsidTr="00E21DBC">
        <w:trPr>
          <w:gridAfter w:val="1"/>
          <w:wAfter w:w="222" w:type="dxa"/>
          <w:trHeight w:val="96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 xml:space="preserve">Номинальная частота сети, 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Гц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35"/>
                <w:sz w:val="24"/>
                <w:lang w:eastAsia="ru-RU"/>
              </w:rPr>
              <w:t>(50 ± 2,5)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D3F" w:rsidRPr="006146D2" w:rsidTr="00E21DBC">
        <w:trPr>
          <w:gridAfter w:val="1"/>
          <w:wAfter w:w="222" w:type="dxa"/>
          <w:trHeight w:val="464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Порог чувствительности, А, не более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непосредственное включение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трансформаторное включение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Активная/реактивная энергия</w:t>
            </w:r>
          </w:p>
        </w:tc>
      </w:tr>
      <w:tr w:rsidR="00801D3F" w:rsidRPr="006146D2" w:rsidTr="00E21DBC">
        <w:trPr>
          <w:trHeight w:val="315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801D3F" w:rsidRPr="006146D2" w:rsidTr="00E21DBC">
        <w:trPr>
          <w:trHeight w:val="645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8"/>
                <w:sz w:val="24"/>
                <w:lang w:eastAsia="ru-RU"/>
              </w:rPr>
              <w:t>–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0,001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I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ном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87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0,2S/0,5; 0,5S/0,5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0,002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I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б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645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Полная мощность, потребляемая каждой цепью тока, не более, (В•А)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0,1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При номинальном (базовом) токе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Полная (активная) 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мощность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 потребляемая каждой цепью напряжения, не более, В•А (Вт)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9 (0,8) для исполнений с фазным напряжением 230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При номинальном значении напряжения без учета потребления модулей связи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801D3F" w:rsidRPr="006146D2" w:rsidTr="00E21DBC">
        <w:trPr>
          <w:trHeight w:val="750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2 (0,8 ) для исполнений с фазным напряжением 57,7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62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159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Активная мощность потребления модулей связи, не более, 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Вт</w:t>
            </w:r>
            <w:proofErr w:type="gramEnd"/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1"/>
                <w:sz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При номинальном значении напряжения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159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lastRenderedPageBreak/>
              <w:t>Ток, потребляемый каждой цепью напряжения, не более, мА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65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При номинальном напряжении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1905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 xml:space="preserve">Предел основной абсолютной погрешности хода часов,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c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/сутки, не хуже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40"/>
                <w:sz w:val="24"/>
                <w:lang w:eastAsia="ru-RU"/>
              </w:rPr>
              <w:t>± 0,5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840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Длительность хранения информации при отключении питания, не менее, лет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Имеется возможность установки дополнительного внешнего литиевого элемента (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см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. п. 3.5)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30</w:t>
            </w:r>
          </w:p>
        </w:tc>
        <w:tc>
          <w:tcPr>
            <w:tcW w:w="262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159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Срок службы встроенного литиевого элемента питания, лет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645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Количество тарифов,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до 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96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Количество тарифных зон в сутках,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до 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1275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Количество сезонных расписаний в году,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до 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96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Количество исключительных дней,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до 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1275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Количество суточных тарифных расписаний,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до 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1275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Количество зон контроля мощности в сутках,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1"/>
                <w:sz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1275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Количество расписаний контроля мощности, не </w:t>
            </w: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lastRenderedPageBreak/>
              <w:t>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lastRenderedPageBreak/>
              <w:t>до 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lastRenderedPageBreak/>
              <w:t>Время усреднения мощности, мин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1; 2; 3; 4; 5; 6; 10; 12; 15; 20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30, 60</w:t>
            </w:r>
          </w:p>
        </w:tc>
        <w:tc>
          <w:tcPr>
            <w:tcW w:w="262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960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Глубина хранения месячных </w:t>
            </w: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энергий по тарифам и фазам, месяцев, не менее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40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Текущий и 39 предыдущих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960"/>
          <w:jc w:val="center"/>
        </w:trPr>
        <w:tc>
          <w:tcPr>
            <w:tcW w:w="363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Глубина хранения суточных энергий, накопленных по тарифам и фазам, суток, не менее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128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Текущие и 127 предыдущих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645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222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Глубина хранения годовых энергий, накопленных по тарифам и фазам, лет,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Текущий и 9 предыдущих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222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Глубина хранения энергий событий по тарифам и фазам, событий,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Глубина хранения месячных максимумов мощности по трем зонам контроля, месяцев, не менее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13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Текущий и 12 предыдущих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645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96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Количество параметров в профиле,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до 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1275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Глубина хранения профиля, суток,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128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При времени усреднения 30 мин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lastRenderedPageBreak/>
              <w:t>Время усреднения профилей нагрузки, мин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1; 2; 3; 4; 5; 6; 10; 12; 15; 20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30, 60</w:t>
            </w:r>
          </w:p>
        </w:tc>
        <w:tc>
          <w:tcPr>
            <w:tcW w:w="262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Номинальное (допустимое) напряжение электрических импульсных выходов, не более, 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В</w:t>
            </w:r>
            <w:proofErr w:type="gramEnd"/>
          </w:p>
        </w:tc>
        <w:tc>
          <w:tcPr>
            <w:tcW w:w="30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lang w:eastAsia="ru-RU"/>
              </w:rPr>
              <w:t>10 (24)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960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Напряжение постоянного тока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Номинальное (допустимое) значение тока электрических импульсных выходов, не более, мА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lang w:eastAsia="ru-RU"/>
              </w:rPr>
              <w:t>10 (30)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960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Напряжение постоянного тока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96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Длительность выходных импульсов,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м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c</w:t>
            </w:r>
            <w:proofErr w:type="spellEnd"/>
            <w:proofErr w:type="gramEnd"/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В режиме ТМ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1275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Скорость обмена по интерфейсам, бод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От 300 до 19 200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В зависимости от характеристик модулей связи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1275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Скорость обмена через оптический порт, бод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От 300 до 19 200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510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вка и поддержание обмена данны</w:t>
            </w:r>
            <w:r w:rsidRPr="006146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ми по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радиоинтерфейсу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со встроенной антенной и с разъемом под внешнюю антенну на скорости не менее, бит/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1 200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810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3F" w:rsidRPr="00C078DE" w:rsidTr="00E21DBC">
        <w:trPr>
          <w:trHeight w:val="960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7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кроме</w:t>
            </w: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val="en-US" w:eastAsia="ru-RU"/>
              </w:rPr>
              <w:t xml:space="preserve"> GSM (NB-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val="en-US" w:eastAsia="ru-RU"/>
              </w:rPr>
              <w:t>IoT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val="en-US" w:eastAsia="ru-RU"/>
              </w:rPr>
              <w:t xml:space="preserve">),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val="en-US" w:eastAsia="ru-RU"/>
              </w:rPr>
              <w:t>ZigBee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val="en-US" w:eastAsia="ru-RU"/>
              </w:rPr>
              <w:t xml:space="preserve"> (SK02/SK03)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01D3F" w:rsidRPr="006146D2" w:rsidTr="00E21DBC">
        <w:trPr>
          <w:trHeight w:val="1275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Время обновления показаний счетчика, 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с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1"/>
                <w:sz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96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Начальный запуск, не более, 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с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1"/>
                <w:sz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С момента подачи напряжения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96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 xml:space="preserve">Масса счетчика, не более, 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кг</w:t>
            </w:r>
            <w:proofErr w:type="gramEnd"/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1"/>
                <w:sz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7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для CE308 S31, S34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lastRenderedPageBreak/>
              <w:t xml:space="preserve">Габаритные размеры (высота; ширина; длина), не более, 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мм</w:t>
            </w:r>
            <w:proofErr w:type="gramEnd"/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72х175х 215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7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для СЕ308 S31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30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85х175х280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7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для СЕ308 S34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96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Средняя наработка до отказа, 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ч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220 000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645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Средний срок службы, лет, не менее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45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Максимальный ток на контактах реле при выполнении операции отключения (включения), не менее, А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 xml:space="preserve">1,1 </w:t>
            </w: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I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макс</w:t>
            </w:r>
            <w:proofErr w:type="spellEnd"/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15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3F" w:rsidRPr="006146D2" w:rsidTr="00E21DBC">
        <w:trPr>
          <w:trHeight w:val="1905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Допустимое коммутируемое напряжение на контактах реле сигнализации, не более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265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 В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 xml:space="preserve"> переменного тока; 30 В постоянного тока в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модификации S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45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Допустимое значение коммутируемого тока на контактах реле сигнализации (исполнения с S), не более, А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1"/>
                <w:sz w:val="24"/>
                <w:lang w:eastAsia="ru-RU"/>
              </w:rPr>
              <w:t>2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  <w:p w:rsidR="00801D3F" w:rsidRPr="006146D2" w:rsidRDefault="00801D3F" w:rsidP="00E21DBC">
            <w:pPr>
              <w:spacing w:after="0" w:line="240" w:lineRule="auto"/>
              <w:ind w:firstLineChars="100"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CE308 S31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690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345"/>
          <w:jc w:val="center"/>
        </w:trPr>
        <w:tc>
          <w:tcPr>
            <w:tcW w:w="363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5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Допустимое коммутируемое напряжение на контактах реле управления нагрузкой (исполнения с Q), не более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>265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 xml:space="preserve"> В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lang w:eastAsia="ru-RU"/>
              </w:rPr>
              <w:t xml:space="preserve"> переменного тока;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  <w:p w:rsidR="00801D3F" w:rsidRPr="006146D2" w:rsidRDefault="00801D3F" w:rsidP="00E21DBC">
            <w:pPr>
              <w:spacing w:after="0" w:line="240" w:lineRule="auto"/>
              <w:ind w:firstLineChars="100"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CE308 S34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690"/>
          <w:jc w:val="center"/>
        </w:trPr>
        <w:tc>
          <w:tcPr>
            <w:tcW w:w="363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3F" w:rsidRPr="006146D2" w:rsidTr="00E21DBC">
        <w:trPr>
          <w:trHeight w:val="1590"/>
          <w:jc w:val="center"/>
        </w:trPr>
        <w:tc>
          <w:tcPr>
            <w:tcW w:w="36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lang w:eastAsia="ru-RU"/>
              </w:rPr>
              <w:t>Коммутационная износостойкость контактов реле, циклов</w:t>
            </w:r>
          </w:p>
        </w:tc>
        <w:tc>
          <w:tcPr>
            <w:tcW w:w="305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lang w:eastAsia="ru-RU"/>
              </w:rPr>
              <w:t>5 000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ind w:firstLineChars="100" w:firstLine="27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lang w:eastAsia="ru-RU"/>
              </w:rPr>
              <w:t>CE308 S34</w:t>
            </w:r>
          </w:p>
        </w:tc>
        <w:tc>
          <w:tcPr>
            <w:tcW w:w="222" w:type="dxa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1D3F" w:rsidRPr="006146D2" w:rsidRDefault="00801D3F" w:rsidP="00801D3F">
      <w:pPr>
        <w:pStyle w:val="111"/>
        <w:numPr>
          <w:ilvl w:val="0"/>
          <w:numId w:val="0"/>
        </w:numPr>
        <w:ind w:left="1428"/>
        <w:rPr>
          <w:rFonts w:ascii="Times New Roman" w:hAnsi="Times New Roman" w:cs="Times New Roman"/>
          <w:sz w:val="24"/>
          <w:szCs w:val="24"/>
        </w:rPr>
      </w:pP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Доступ к параметрам и данным со стороны интерфейсов связи должен быть защищен паролями на чтение и программирование (два уровня доступа).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 xml:space="preserve">В счетчике должны быть установлены две энергонезависимые электронные пломбы: </w:t>
      </w:r>
      <w:r w:rsidRPr="006146D2">
        <w:rPr>
          <w:rFonts w:ascii="Times New Roman" w:hAnsi="Times New Roman" w:cs="Times New Roman"/>
          <w:sz w:val="24"/>
          <w:szCs w:val="24"/>
        </w:rPr>
        <w:sym w:font="Symbol" w:char="F02D"/>
      </w:r>
      <w:r w:rsidRPr="006146D2">
        <w:rPr>
          <w:rFonts w:ascii="Times New Roman" w:hAnsi="Times New Roman" w:cs="Times New Roman"/>
          <w:sz w:val="24"/>
          <w:szCs w:val="24"/>
        </w:rPr>
        <w:t xml:space="preserve"> крышки счетчика; </w:t>
      </w:r>
      <w:r w:rsidRPr="006146D2">
        <w:rPr>
          <w:rFonts w:ascii="Times New Roman" w:hAnsi="Times New Roman" w:cs="Times New Roman"/>
          <w:sz w:val="24"/>
          <w:szCs w:val="24"/>
        </w:rPr>
        <w:sym w:font="Symbol" w:char="F02D"/>
      </w:r>
      <w:r w:rsidRPr="006146D2">
        <w:rPr>
          <w:rFonts w:ascii="Times New Roman" w:hAnsi="Times New Roman" w:cs="Times New Roman"/>
          <w:sz w:val="24"/>
          <w:szCs w:val="24"/>
        </w:rPr>
        <w:t xml:space="preserve"> крышки зажимов. Электронные пломбы должны фиксировать факт и время </w:t>
      </w:r>
      <w:r w:rsidRPr="006146D2">
        <w:rPr>
          <w:rFonts w:ascii="Times New Roman" w:hAnsi="Times New Roman" w:cs="Times New Roman"/>
          <w:sz w:val="24"/>
          <w:szCs w:val="24"/>
        </w:rPr>
        <w:lastRenderedPageBreak/>
        <w:t>открытия/закрытия соответствующей крышки с формированием записи в журнале событий. Электронные пломбы должны функционировать как во включенном, так и в выключенном состоянии счетчика.</w:t>
      </w:r>
    </w:p>
    <w:p w:rsidR="00801D3F" w:rsidRPr="006146D2" w:rsidRDefault="00801D3F" w:rsidP="00801D3F">
      <w:pPr>
        <w:rPr>
          <w:rFonts w:ascii="Times New Roman" w:hAnsi="Times New Roman" w:cs="Times New Roman"/>
          <w:b/>
          <w:sz w:val="24"/>
          <w:szCs w:val="24"/>
        </w:rPr>
      </w:pPr>
    </w:p>
    <w:p w:rsidR="00801D3F" w:rsidRPr="006146D2" w:rsidRDefault="00801D3F" w:rsidP="00801D3F">
      <w:pPr>
        <w:pStyle w:val="a6"/>
        <w:numPr>
          <w:ilvl w:val="0"/>
          <w:numId w:val="39"/>
        </w:numPr>
        <w:tabs>
          <w:tab w:val="left" w:pos="2815"/>
        </w:tabs>
        <w:ind w:left="928" w:hanging="360"/>
        <w:rPr>
          <w:rFonts w:ascii="Times New Roman" w:hAnsi="Times New Roman" w:cs="Times New Roman"/>
          <w:b/>
          <w:sz w:val="24"/>
          <w:szCs w:val="24"/>
        </w:rPr>
      </w:pPr>
      <w:r w:rsidRPr="006146D2">
        <w:rPr>
          <w:rFonts w:ascii="Times New Roman" w:hAnsi="Times New Roman" w:cs="Times New Roman"/>
          <w:b/>
          <w:sz w:val="24"/>
          <w:szCs w:val="24"/>
        </w:rPr>
        <w:t>Требования к документации и сертификации.</w:t>
      </w:r>
    </w:p>
    <w:p w:rsidR="00801D3F" w:rsidRPr="006146D2" w:rsidRDefault="00801D3F" w:rsidP="00801D3F">
      <w:pPr>
        <w:pStyle w:val="a6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При поставке счетчика должны быть предоставлены:</w:t>
      </w:r>
    </w:p>
    <w:p w:rsidR="00801D3F" w:rsidRPr="006146D2" w:rsidRDefault="00801D3F" w:rsidP="00801D3F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- руководство по эксплуатации;</w:t>
      </w:r>
    </w:p>
    <w:p w:rsidR="00801D3F" w:rsidRPr="006146D2" w:rsidRDefault="00801D3F" w:rsidP="00801D3F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- паспорт или формуляр;</w:t>
      </w:r>
    </w:p>
    <w:p w:rsidR="00801D3F" w:rsidRPr="006146D2" w:rsidRDefault="00801D3F" w:rsidP="00801D3F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- сертификат соответствия;</w:t>
      </w:r>
    </w:p>
    <w:p w:rsidR="00801D3F" w:rsidRPr="006146D2" w:rsidRDefault="00801D3F" w:rsidP="00801D3F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6D2">
        <w:rPr>
          <w:rFonts w:ascii="Times New Roman" w:hAnsi="Times New Roman" w:cs="Times New Roman"/>
          <w:sz w:val="24"/>
          <w:szCs w:val="24"/>
        </w:rPr>
        <w:t>- сертификат об утверждении типа средств измерений, зарегистрированный в Государственном реестре средств измерений.</w:t>
      </w:r>
      <w:r w:rsidRPr="006146D2">
        <w:rPr>
          <w:rFonts w:ascii="Times New Roman" w:hAnsi="Times New Roman" w:cs="Times New Roman"/>
          <w:sz w:val="24"/>
          <w:szCs w:val="24"/>
        </w:rPr>
        <w:br w:type="page"/>
      </w:r>
    </w:p>
    <w:p w:rsidR="00801D3F" w:rsidRPr="006146D2" w:rsidRDefault="00801D3F" w:rsidP="00801D3F">
      <w:pPr>
        <w:pStyle w:val="Bodytext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</w:rPr>
      </w:pPr>
      <w:r w:rsidRPr="006146D2">
        <w:rPr>
          <w:rFonts w:ascii="Times New Roman" w:hAnsi="Times New Roman" w:cs="Times New Roman"/>
        </w:rPr>
        <w:lastRenderedPageBreak/>
        <w:t>Приложение № 1</w:t>
      </w:r>
    </w:p>
    <w:p w:rsidR="00801D3F" w:rsidRPr="006146D2" w:rsidRDefault="00801D3F" w:rsidP="00801D3F">
      <w:pPr>
        <w:pStyle w:val="Bodytext30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6146D2">
        <w:rPr>
          <w:rFonts w:ascii="Times New Roman" w:hAnsi="Times New Roman" w:cs="Times New Roman"/>
        </w:rPr>
        <w:t>к Техническому заданию</w:t>
      </w:r>
    </w:p>
    <w:p w:rsidR="00801D3F" w:rsidRPr="006146D2" w:rsidRDefault="00801D3F" w:rsidP="00801D3F">
      <w:pPr>
        <w:spacing w:line="360" w:lineRule="auto"/>
        <w:jc w:val="center"/>
        <w:rPr>
          <w:rStyle w:val="Tablecaption20"/>
          <w:rFonts w:ascii="Times New Roman" w:hAnsi="Times New Roman" w:cs="Times New Roman"/>
          <w:b/>
          <w:sz w:val="20"/>
        </w:rPr>
      </w:pPr>
      <w:r w:rsidRPr="006146D2">
        <w:rPr>
          <w:rStyle w:val="Tablecaption20"/>
          <w:rFonts w:ascii="Times New Roman" w:hAnsi="Times New Roman" w:cs="Times New Roman"/>
          <w:b/>
          <w:sz w:val="20"/>
        </w:rPr>
        <w:t>Спецификация приборов учета</w:t>
      </w:r>
    </w:p>
    <w:tbl>
      <w:tblPr>
        <w:tblW w:w="9639" w:type="dxa"/>
        <w:tblInd w:w="108" w:type="dxa"/>
        <w:tblLook w:val="04A0"/>
      </w:tblPr>
      <w:tblGrid>
        <w:gridCol w:w="949"/>
        <w:gridCol w:w="3683"/>
        <w:gridCol w:w="951"/>
        <w:gridCol w:w="816"/>
        <w:gridCol w:w="1814"/>
        <w:gridCol w:w="1426"/>
      </w:tblGrid>
      <w:tr w:rsidR="00801D3F" w:rsidRPr="006146D2" w:rsidTr="00E21DBC">
        <w:trPr>
          <w:trHeight w:val="52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6D2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146D2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6146D2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/</w:t>
            </w:r>
            <w:proofErr w:type="spellStart"/>
            <w:r w:rsidRPr="006146D2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6D2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6D2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Ед. </w:t>
            </w:r>
            <w:proofErr w:type="spellStart"/>
            <w:r w:rsidRPr="006146D2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изм</w:t>
            </w:r>
            <w:proofErr w:type="spellEnd"/>
            <w:r w:rsidRPr="006146D2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фаз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6D2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Особенности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6D2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Предельная цена с НДС, руб.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CE308 C36.746.OGR1.QYDUVFZ GB01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Сплит, GSM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17330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CE208 C4.846.2.OGR1.QYUDVFZ GB01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Сплит, GSM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CE308 S34.746.OA.QYUVLFZ SPDS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RS-485,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реле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вкл</w:t>
            </w:r>
            <w:proofErr w:type="spellEnd"/>
            <w:proofErr w:type="gram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14810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CE308 S34.746.OG.QYUVLFZ GS01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GSM,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реле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вкл</w:t>
            </w:r>
            <w:proofErr w:type="spellEnd"/>
            <w:proofErr w:type="gram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18020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CE308 S31.503.OAA.SYUVJLFZ SPDS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2хRS-485, косвенный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11850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CE308 S31.503.OAG.SYUVJLFZ GS01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RS-485, GSM,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косвенный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14320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CE308 S31.543.OAA.SYUVJLFZ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2хRS-485,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полукосвенный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CE308 S31.543.OAG.SYUVJLFZ GS01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RS-485, GSM,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полукосвенный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13775</w:t>
            </w:r>
          </w:p>
        </w:tc>
      </w:tr>
      <w:tr w:rsidR="00801D3F" w:rsidRPr="006146D2" w:rsidTr="00E21DBC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CE308 S31.746.OA.YUVLFZ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RS-485,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15344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CE308 S31.746.OG.YUVLFZ GS01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GSM,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13995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CE208 S7.846.2.OG.QYUVFLZ GS01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GSM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</w:t>
            </w: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01D3F" w:rsidRPr="006146D2" w:rsidTr="00E21DBC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CE101 S6 148 M6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</w:tr>
      <w:tr w:rsidR="00801D3F" w:rsidRPr="006146D2" w:rsidTr="00E21DBC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CE200 S6 145 M6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ЦЭ6803В 1 230В 5-60А 3ф.4пр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Р32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ЦЭ6803В 1 230В 5-60А 3ф.4пр. Э Р32 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ЦЭ6803В 1 100В 5-7,5А 3ф.3пр. М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ЦЭ6803В 1 230В 10-100А 3ф.4пр. М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ЦЭ6803В 1 230В 10-100А 3ф.4пр. М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ЦЭ6803В 1 230В 10-100А 3ф.4пр. Э Р32 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ЦЭ6803В 1 230В 1-7,5А 3ф. 4пр. М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ЦЭ6803В 1 230В 1-7,5А 3ф. 4пр. М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ЦЭ6803В 1 230В 1-7,5А 3ф.4пр. Э Р32 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ЦЭ6803В 1 230В 5-60А 3ф.4пр. М</w:t>
            </w:r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</w:tr>
      <w:tr w:rsidR="00801D3F" w:rsidRPr="006146D2" w:rsidTr="00E21DBC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CE102M S7 145-AV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RS-485,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</w:tr>
      <w:tr w:rsidR="00801D3F" w:rsidRPr="006146D2" w:rsidTr="00E21DBC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CE102M R5 145-A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RS-485,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</w:tr>
      <w:tr w:rsidR="00801D3F" w:rsidRPr="006146D2" w:rsidTr="00E21DBC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CE208 S7.145.2.OA.QV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RS-485, реле,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</w:tr>
      <w:tr w:rsidR="00801D3F" w:rsidRPr="006146D2" w:rsidTr="00E21DBC">
        <w:trPr>
          <w:trHeight w:val="9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CE208 S7.849.2.OPR1.QYUVFLZ RP01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реле, параметры сети,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5722</w:t>
            </w:r>
          </w:p>
        </w:tc>
      </w:tr>
      <w:tr w:rsidR="00801D3F" w:rsidRPr="006146D2" w:rsidTr="00E21DBC">
        <w:trPr>
          <w:trHeight w:val="9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Головка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считывающая</w:t>
            </w:r>
            <w:proofErr w:type="spellEnd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USB ИНЕС.426477.011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4350</w:t>
            </w:r>
          </w:p>
        </w:tc>
      </w:tr>
      <w:tr w:rsidR="00801D3F" w:rsidRPr="00A63ABB" w:rsidTr="00E21DBC">
        <w:trPr>
          <w:trHeight w:val="9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3F" w:rsidRPr="006146D2" w:rsidRDefault="00801D3F" w:rsidP="00E2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считывания счетчиков СЕ901 BU-03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3F" w:rsidRPr="006146D2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3F" w:rsidRPr="00863F19" w:rsidRDefault="00801D3F" w:rsidP="00E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3400</w:t>
            </w:r>
          </w:p>
        </w:tc>
      </w:tr>
    </w:tbl>
    <w:p w:rsidR="00801D3F" w:rsidRDefault="00801D3F" w:rsidP="00801D3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0732" w:rsidRPr="006F0732" w:rsidRDefault="006F0732" w:rsidP="006F073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F0732" w:rsidRPr="006F0732" w:rsidSect="006F0732">
      <w:pgSz w:w="11906" w:h="16838" w:code="9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E7" w:rsidRDefault="00007CE7" w:rsidP="003666E0">
      <w:pPr>
        <w:spacing w:after="0" w:line="240" w:lineRule="auto"/>
      </w:pPr>
      <w:r>
        <w:separator/>
      </w:r>
    </w:p>
  </w:endnote>
  <w:endnote w:type="continuationSeparator" w:id="0">
    <w:p w:rsidR="00007CE7" w:rsidRDefault="00007CE7" w:rsidP="0036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E7" w:rsidRDefault="00007CE7" w:rsidP="003666E0">
      <w:pPr>
        <w:spacing w:after="0" w:line="240" w:lineRule="auto"/>
      </w:pPr>
      <w:r>
        <w:separator/>
      </w:r>
    </w:p>
  </w:footnote>
  <w:footnote w:type="continuationSeparator" w:id="0">
    <w:p w:rsidR="00007CE7" w:rsidRDefault="00007CE7" w:rsidP="0036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EE00DE"/>
    <w:multiLevelType w:val="hybridMultilevel"/>
    <w:tmpl w:val="61032E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D79C6E"/>
    <w:multiLevelType w:val="hybridMultilevel"/>
    <w:tmpl w:val="C58549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FE3A4B"/>
    <w:multiLevelType w:val="hybridMultilevel"/>
    <w:tmpl w:val="591A8C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F3595D"/>
    <w:multiLevelType w:val="hybridMultilevel"/>
    <w:tmpl w:val="9A9D99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E45065"/>
    <w:multiLevelType w:val="hybridMultilevel"/>
    <w:tmpl w:val="E74C47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86FDFCF"/>
    <w:multiLevelType w:val="hybridMultilevel"/>
    <w:tmpl w:val="0DC96C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CB3E672"/>
    <w:multiLevelType w:val="hybridMultilevel"/>
    <w:tmpl w:val="427578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785130"/>
    <w:multiLevelType w:val="hybridMultilevel"/>
    <w:tmpl w:val="25EB17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410E27"/>
    <w:multiLevelType w:val="hybridMultilevel"/>
    <w:tmpl w:val="61B1B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35FC8F0"/>
    <w:multiLevelType w:val="hybridMultilevel"/>
    <w:tmpl w:val="6AEEB2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B0CC15"/>
    <w:multiLevelType w:val="hybridMultilevel"/>
    <w:tmpl w:val="D23254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D1482C"/>
    <w:multiLevelType w:val="hybridMultilevel"/>
    <w:tmpl w:val="12F6EE0C"/>
    <w:lvl w:ilvl="0" w:tplc="5B483FF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A62DD"/>
    <w:multiLevelType w:val="hybridMultilevel"/>
    <w:tmpl w:val="B1AEE04E"/>
    <w:lvl w:ilvl="0" w:tplc="997252AA">
      <w:start w:val="4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90D06"/>
    <w:multiLevelType w:val="multilevel"/>
    <w:tmpl w:val="2032732E"/>
    <w:lvl w:ilvl="0">
      <w:start w:val="1"/>
      <w:numFmt w:val="decimal"/>
      <w:lvlText w:val="%1"/>
      <w:lvlJc w:val="left"/>
      <w:pPr>
        <w:ind w:left="660" w:hanging="108"/>
        <w:jc w:val="right"/>
      </w:pPr>
      <w:rPr>
        <w:rFonts w:ascii="Arial" w:eastAsia="Arial" w:hAnsi="Arial" w:cs="Arial" w:hint="default"/>
        <w:b/>
        <w:bCs/>
        <w:color w:val="231F20"/>
        <w:w w:val="75"/>
        <w:sz w:val="14"/>
        <w:szCs w:val="1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8" w:hanging="208"/>
      </w:pPr>
      <w:rPr>
        <w:rFonts w:hint="default"/>
        <w:w w:val="7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208"/>
      </w:pPr>
      <w:rPr>
        <w:rFonts w:ascii="Arial" w:eastAsia="Arial" w:hAnsi="Arial" w:cs="Arial" w:hint="default"/>
        <w:color w:val="231F20"/>
        <w:w w:val="70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500" w:hanging="2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2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" w:hanging="2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2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49" w:hanging="2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59" w:hanging="208"/>
      </w:pPr>
      <w:rPr>
        <w:rFonts w:hint="default"/>
        <w:lang w:val="ru-RU" w:eastAsia="en-US" w:bidi="ar-SA"/>
      </w:rPr>
    </w:lvl>
  </w:abstractNum>
  <w:abstractNum w:abstractNumId="14">
    <w:nsid w:val="19690480"/>
    <w:multiLevelType w:val="hybridMultilevel"/>
    <w:tmpl w:val="8380411C"/>
    <w:lvl w:ilvl="0" w:tplc="7AA45278">
      <w:start w:val="1"/>
      <w:numFmt w:val="decimal"/>
      <w:lvlText w:val="1.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1D503EA1"/>
    <w:multiLevelType w:val="hybridMultilevel"/>
    <w:tmpl w:val="95DE14A2"/>
    <w:lvl w:ilvl="0" w:tplc="5C64003A">
      <w:start w:val="4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6A409"/>
    <w:multiLevelType w:val="hybridMultilevel"/>
    <w:tmpl w:val="A50F30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54B56F8"/>
    <w:multiLevelType w:val="hybridMultilevel"/>
    <w:tmpl w:val="83B09AFE"/>
    <w:lvl w:ilvl="0" w:tplc="5B483FF6">
      <w:start w:val="1"/>
      <w:numFmt w:val="decimal"/>
      <w:lvlText w:val="4.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27683E4B"/>
    <w:multiLevelType w:val="hybridMultilevel"/>
    <w:tmpl w:val="AA7E30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7BB3F53"/>
    <w:multiLevelType w:val="multilevel"/>
    <w:tmpl w:val="7C8C8DB2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142" w:firstLine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11"/>
        </w:tabs>
        <w:ind w:left="142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42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0">
    <w:nsid w:val="38F134A8"/>
    <w:multiLevelType w:val="multilevel"/>
    <w:tmpl w:val="2416EC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3E254A20"/>
    <w:multiLevelType w:val="multilevel"/>
    <w:tmpl w:val="C442CF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53B05"/>
    <w:multiLevelType w:val="hybridMultilevel"/>
    <w:tmpl w:val="536CC9DA"/>
    <w:lvl w:ilvl="0" w:tplc="AE9AC2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489BC6"/>
    <w:multiLevelType w:val="hybridMultilevel"/>
    <w:tmpl w:val="4725A2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58D075A"/>
    <w:multiLevelType w:val="hybridMultilevel"/>
    <w:tmpl w:val="84DA1F44"/>
    <w:lvl w:ilvl="0" w:tplc="B38801E2">
      <w:numFmt w:val="bullet"/>
      <w:lvlText w:val="*"/>
      <w:lvlJc w:val="left"/>
      <w:pPr>
        <w:ind w:left="80" w:hanging="112"/>
      </w:pPr>
      <w:rPr>
        <w:rFonts w:ascii="Arial" w:eastAsia="Arial" w:hAnsi="Arial" w:cs="Arial" w:hint="default"/>
        <w:color w:val="231F20"/>
        <w:w w:val="114"/>
        <w:sz w:val="14"/>
        <w:szCs w:val="14"/>
        <w:lang w:val="ru-RU" w:eastAsia="en-US" w:bidi="ar-SA"/>
      </w:rPr>
    </w:lvl>
    <w:lvl w:ilvl="1" w:tplc="8564C66A">
      <w:numFmt w:val="bullet"/>
      <w:lvlText w:val="•"/>
      <w:lvlJc w:val="left"/>
      <w:pPr>
        <w:ind w:left="300" w:hanging="112"/>
      </w:pPr>
      <w:rPr>
        <w:rFonts w:hint="default"/>
        <w:lang w:val="ru-RU" w:eastAsia="en-US" w:bidi="ar-SA"/>
      </w:rPr>
    </w:lvl>
    <w:lvl w:ilvl="2" w:tplc="83F60C94">
      <w:numFmt w:val="bullet"/>
      <w:lvlText w:val="•"/>
      <w:lvlJc w:val="left"/>
      <w:pPr>
        <w:ind w:left="520" w:hanging="112"/>
      </w:pPr>
      <w:rPr>
        <w:rFonts w:hint="default"/>
        <w:lang w:val="ru-RU" w:eastAsia="en-US" w:bidi="ar-SA"/>
      </w:rPr>
    </w:lvl>
    <w:lvl w:ilvl="3" w:tplc="07AC96CC">
      <w:numFmt w:val="bullet"/>
      <w:lvlText w:val="•"/>
      <w:lvlJc w:val="left"/>
      <w:pPr>
        <w:ind w:left="740" w:hanging="112"/>
      </w:pPr>
      <w:rPr>
        <w:rFonts w:hint="default"/>
        <w:lang w:val="ru-RU" w:eastAsia="en-US" w:bidi="ar-SA"/>
      </w:rPr>
    </w:lvl>
    <w:lvl w:ilvl="4" w:tplc="BB042F82">
      <w:numFmt w:val="bullet"/>
      <w:lvlText w:val="•"/>
      <w:lvlJc w:val="left"/>
      <w:pPr>
        <w:ind w:left="960" w:hanging="112"/>
      </w:pPr>
      <w:rPr>
        <w:rFonts w:hint="default"/>
        <w:lang w:val="ru-RU" w:eastAsia="en-US" w:bidi="ar-SA"/>
      </w:rPr>
    </w:lvl>
    <w:lvl w:ilvl="5" w:tplc="DE7A8AC8">
      <w:numFmt w:val="bullet"/>
      <w:lvlText w:val="•"/>
      <w:lvlJc w:val="left"/>
      <w:pPr>
        <w:ind w:left="1180" w:hanging="112"/>
      </w:pPr>
      <w:rPr>
        <w:rFonts w:hint="default"/>
        <w:lang w:val="ru-RU" w:eastAsia="en-US" w:bidi="ar-SA"/>
      </w:rPr>
    </w:lvl>
    <w:lvl w:ilvl="6" w:tplc="8C82C90A">
      <w:numFmt w:val="bullet"/>
      <w:lvlText w:val="•"/>
      <w:lvlJc w:val="left"/>
      <w:pPr>
        <w:ind w:left="1400" w:hanging="112"/>
      </w:pPr>
      <w:rPr>
        <w:rFonts w:hint="default"/>
        <w:lang w:val="ru-RU" w:eastAsia="en-US" w:bidi="ar-SA"/>
      </w:rPr>
    </w:lvl>
    <w:lvl w:ilvl="7" w:tplc="FC808832">
      <w:numFmt w:val="bullet"/>
      <w:lvlText w:val="•"/>
      <w:lvlJc w:val="left"/>
      <w:pPr>
        <w:ind w:left="1620" w:hanging="112"/>
      </w:pPr>
      <w:rPr>
        <w:rFonts w:hint="default"/>
        <w:lang w:val="ru-RU" w:eastAsia="en-US" w:bidi="ar-SA"/>
      </w:rPr>
    </w:lvl>
    <w:lvl w:ilvl="8" w:tplc="912E1FA0">
      <w:numFmt w:val="bullet"/>
      <w:lvlText w:val="•"/>
      <w:lvlJc w:val="left"/>
      <w:pPr>
        <w:ind w:left="1840" w:hanging="112"/>
      </w:pPr>
      <w:rPr>
        <w:rFonts w:hint="default"/>
        <w:lang w:val="ru-RU" w:eastAsia="en-US" w:bidi="ar-SA"/>
      </w:rPr>
    </w:lvl>
  </w:abstractNum>
  <w:abstractNum w:abstractNumId="25">
    <w:nsid w:val="4C9249EE"/>
    <w:multiLevelType w:val="hybridMultilevel"/>
    <w:tmpl w:val="F320BD76"/>
    <w:lvl w:ilvl="0" w:tplc="F6FCE05E">
      <w:start w:val="1"/>
      <w:numFmt w:val="russianLower"/>
      <w:lvlText w:val="%1)"/>
      <w:lvlJc w:val="left"/>
      <w:pPr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4F4C586A"/>
    <w:multiLevelType w:val="multilevel"/>
    <w:tmpl w:val="2416EC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51035176"/>
    <w:multiLevelType w:val="hybridMultilevel"/>
    <w:tmpl w:val="AF42B4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11A8AF5"/>
    <w:multiLevelType w:val="hybridMultilevel"/>
    <w:tmpl w:val="B60FFE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1462E7B"/>
    <w:multiLevelType w:val="hybridMultilevel"/>
    <w:tmpl w:val="A7E46E40"/>
    <w:lvl w:ilvl="0" w:tplc="5B483FF6">
      <w:start w:val="1"/>
      <w:numFmt w:val="decimal"/>
      <w:lvlText w:val="4.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>
    <w:nsid w:val="515B456A"/>
    <w:multiLevelType w:val="hybridMultilevel"/>
    <w:tmpl w:val="4C22338A"/>
    <w:lvl w:ilvl="0" w:tplc="5B483FF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E3ABD"/>
    <w:multiLevelType w:val="hybridMultilevel"/>
    <w:tmpl w:val="B674362C"/>
    <w:lvl w:ilvl="0" w:tplc="31806B2A">
      <w:start w:val="1"/>
      <w:numFmt w:val="decimal"/>
      <w:lvlText w:val="4.%1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>
    <w:nsid w:val="558D5EA8"/>
    <w:multiLevelType w:val="hybridMultilevel"/>
    <w:tmpl w:val="9D6239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7F75B3A"/>
    <w:multiLevelType w:val="hybridMultilevel"/>
    <w:tmpl w:val="52AE70EA"/>
    <w:lvl w:ilvl="0" w:tplc="5C64003A">
      <w:start w:val="4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85E8D"/>
    <w:multiLevelType w:val="hybridMultilevel"/>
    <w:tmpl w:val="2714AC80"/>
    <w:lvl w:ilvl="0" w:tplc="304E72DC">
      <w:start w:val="1"/>
      <w:numFmt w:val="decimal"/>
      <w:pStyle w:val="111"/>
      <w:lvlText w:val="2.1.%1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6675D66"/>
    <w:multiLevelType w:val="hybridMultilevel"/>
    <w:tmpl w:val="934AF09E"/>
    <w:lvl w:ilvl="0" w:tplc="5B483FF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545F"/>
    <w:multiLevelType w:val="hybridMultilevel"/>
    <w:tmpl w:val="04E2ACD4"/>
    <w:lvl w:ilvl="0" w:tplc="E6ECA898">
      <w:numFmt w:val="bullet"/>
      <w:lvlText w:val="•"/>
      <w:lvlJc w:val="left"/>
      <w:pPr>
        <w:ind w:left="100" w:hanging="117"/>
      </w:pPr>
      <w:rPr>
        <w:rFonts w:ascii="Arial" w:eastAsia="Arial" w:hAnsi="Arial" w:cs="Arial" w:hint="default"/>
        <w:color w:val="231F20"/>
        <w:w w:val="105"/>
        <w:sz w:val="14"/>
        <w:szCs w:val="14"/>
        <w:lang w:val="ru-RU" w:eastAsia="en-US" w:bidi="ar-SA"/>
      </w:rPr>
    </w:lvl>
    <w:lvl w:ilvl="1" w:tplc="618CD528">
      <w:numFmt w:val="bullet"/>
      <w:lvlText w:val="•"/>
      <w:lvlJc w:val="left"/>
      <w:pPr>
        <w:ind w:left="383" w:hanging="101"/>
      </w:pPr>
      <w:rPr>
        <w:rFonts w:ascii="Arial" w:eastAsia="Arial" w:hAnsi="Arial" w:cs="Arial" w:hint="default"/>
        <w:color w:val="231F20"/>
        <w:w w:val="105"/>
        <w:sz w:val="14"/>
        <w:szCs w:val="14"/>
        <w:lang w:val="ru-RU" w:eastAsia="en-US" w:bidi="ar-SA"/>
      </w:rPr>
    </w:lvl>
    <w:lvl w:ilvl="2" w:tplc="DBF4A136">
      <w:numFmt w:val="bullet"/>
      <w:lvlText w:val="•"/>
      <w:lvlJc w:val="left"/>
      <w:pPr>
        <w:ind w:left="1146" w:hanging="101"/>
      </w:pPr>
      <w:rPr>
        <w:rFonts w:hint="default"/>
        <w:lang w:val="ru-RU" w:eastAsia="en-US" w:bidi="ar-SA"/>
      </w:rPr>
    </w:lvl>
    <w:lvl w:ilvl="3" w:tplc="160041E0">
      <w:numFmt w:val="bullet"/>
      <w:lvlText w:val="•"/>
      <w:lvlJc w:val="left"/>
      <w:pPr>
        <w:ind w:left="1913" w:hanging="101"/>
      </w:pPr>
      <w:rPr>
        <w:rFonts w:hint="default"/>
        <w:lang w:val="ru-RU" w:eastAsia="en-US" w:bidi="ar-SA"/>
      </w:rPr>
    </w:lvl>
    <w:lvl w:ilvl="4" w:tplc="B9CAF4AC">
      <w:numFmt w:val="bullet"/>
      <w:lvlText w:val="•"/>
      <w:lvlJc w:val="left"/>
      <w:pPr>
        <w:ind w:left="2679" w:hanging="101"/>
      </w:pPr>
      <w:rPr>
        <w:rFonts w:hint="default"/>
        <w:lang w:val="ru-RU" w:eastAsia="en-US" w:bidi="ar-SA"/>
      </w:rPr>
    </w:lvl>
    <w:lvl w:ilvl="5" w:tplc="1098F238">
      <w:numFmt w:val="bullet"/>
      <w:lvlText w:val="•"/>
      <w:lvlJc w:val="left"/>
      <w:pPr>
        <w:ind w:left="3446" w:hanging="101"/>
      </w:pPr>
      <w:rPr>
        <w:rFonts w:hint="default"/>
        <w:lang w:val="ru-RU" w:eastAsia="en-US" w:bidi="ar-SA"/>
      </w:rPr>
    </w:lvl>
    <w:lvl w:ilvl="6" w:tplc="DF985B58">
      <w:numFmt w:val="bullet"/>
      <w:lvlText w:val="•"/>
      <w:lvlJc w:val="left"/>
      <w:pPr>
        <w:ind w:left="4212" w:hanging="101"/>
      </w:pPr>
      <w:rPr>
        <w:rFonts w:hint="default"/>
        <w:lang w:val="ru-RU" w:eastAsia="en-US" w:bidi="ar-SA"/>
      </w:rPr>
    </w:lvl>
    <w:lvl w:ilvl="7" w:tplc="9BB03F06">
      <w:numFmt w:val="bullet"/>
      <w:lvlText w:val="•"/>
      <w:lvlJc w:val="left"/>
      <w:pPr>
        <w:ind w:left="4979" w:hanging="101"/>
      </w:pPr>
      <w:rPr>
        <w:rFonts w:hint="default"/>
        <w:lang w:val="ru-RU" w:eastAsia="en-US" w:bidi="ar-SA"/>
      </w:rPr>
    </w:lvl>
    <w:lvl w:ilvl="8" w:tplc="2528E880">
      <w:numFmt w:val="bullet"/>
      <w:lvlText w:val="•"/>
      <w:lvlJc w:val="left"/>
      <w:pPr>
        <w:ind w:left="5745" w:hanging="101"/>
      </w:pPr>
      <w:rPr>
        <w:rFonts w:hint="default"/>
        <w:lang w:val="ru-RU" w:eastAsia="en-US" w:bidi="ar-SA"/>
      </w:rPr>
    </w:lvl>
  </w:abstractNum>
  <w:abstractNum w:abstractNumId="37">
    <w:nsid w:val="77DD2F1F"/>
    <w:multiLevelType w:val="multilevel"/>
    <w:tmpl w:val="0E50848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7B7A2E"/>
    <w:multiLevelType w:val="hybridMultilevel"/>
    <w:tmpl w:val="EF9CBC50"/>
    <w:lvl w:ilvl="0" w:tplc="096AAA70">
      <w:start w:val="3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6"/>
  </w:num>
  <w:num w:numId="8">
    <w:abstractNumId w:val="18"/>
  </w:num>
  <w:num w:numId="9">
    <w:abstractNumId w:val="23"/>
  </w:num>
  <w:num w:numId="10">
    <w:abstractNumId w:val="3"/>
  </w:num>
  <w:num w:numId="11">
    <w:abstractNumId w:val="8"/>
  </w:num>
  <w:num w:numId="12">
    <w:abstractNumId w:val="27"/>
  </w:num>
  <w:num w:numId="13">
    <w:abstractNumId w:val="32"/>
  </w:num>
  <w:num w:numId="14">
    <w:abstractNumId w:val="5"/>
  </w:num>
  <w:num w:numId="15">
    <w:abstractNumId w:val="7"/>
  </w:num>
  <w:num w:numId="16">
    <w:abstractNumId w:val="28"/>
  </w:num>
  <w:num w:numId="17">
    <w:abstractNumId w:val="2"/>
  </w:num>
  <w:num w:numId="18">
    <w:abstractNumId w:val="10"/>
  </w:num>
  <w:num w:numId="19">
    <w:abstractNumId w:val="1"/>
  </w:num>
  <w:num w:numId="20">
    <w:abstractNumId w:val="26"/>
  </w:num>
  <w:num w:numId="21">
    <w:abstractNumId w:val="22"/>
  </w:num>
  <w:num w:numId="22">
    <w:abstractNumId w:val="31"/>
  </w:num>
  <w:num w:numId="23">
    <w:abstractNumId w:val="38"/>
  </w:num>
  <w:num w:numId="24">
    <w:abstractNumId w:val="29"/>
  </w:num>
  <w:num w:numId="25">
    <w:abstractNumId w:val="12"/>
  </w:num>
  <w:num w:numId="26">
    <w:abstractNumId w:val="11"/>
  </w:num>
  <w:num w:numId="27">
    <w:abstractNumId w:val="15"/>
  </w:num>
  <w:num w:numId="28">
    <w:abstractNumId w:val="35"/>
  </w:num>
  <w:num w:numId="29">
    <w:abstractNumId w:val="30"/>
  </w:num>
  <w:num w:numId="30">
    <w:abstractNumId w:val="33"/>
  </w:num>
  <w:num w:numId="31">
    <w:abstractNumId w:val="17"/>
  </w:num>
  <w:num w:numId="32">
    <w:abstractNumId w:val="25"/>
  </w:num>
  <w:num w:numId="33">
    <w:abstractNumId w:val="24"/>
  </w:num>
  <w:num w:numId="34">
    <w:abstractNumId w:val="13"/>
  </w:num>
  <w:num w:numId="35">
    <w:abstractNumId w:val="36"/>
  </w:num>
  <w:num w:numId="36">
    <w:abstractNumId w:val="34"/>
  </w:num>
  <w:num w:numId="37">
    <w:abstractNumId w:val="14"/>
  </w:num>
  <w:num w:numId="38">
    <w:abstractNumId w:val="34"/>
  </w:num>
  <w:num w:numId="39">
    <w:abstractNumId w:val="37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FB"/>
    <w:rsid w:val="00007CE7"/>
    <w:rsid w:val="000132AC"/>
    <w:rsid w:val="00023E43"/>
    <w:rsid w:val="00045687"/>
    <w:rsid w:val="00051E7C"/>
    <w:rsid w:val="00060EA9"/>
    <w:rsid w:val="00063D8B"/>
    <w:rsid w:val="00066794"/>
    <w:rsid w:val="0008277C"/>
    <w:rsid w:val="00085436"/>
    <w:rsid w:val="000A0AAF"/>
    <w:rsid w:val="000A23AF"/>
    <w:rsid w:val="000A4CD7"/>
    <w:rsid w:val="000B556D"/>
    <w:rsid w:val="000B74EF"/>
    <w:rsid w:val="000D1222"/>
    <w:rsid w:val="000D3A16"/>
    <w:rsid w:val="000D4885"/>
    <w:rsid w:val="000D5DDF"/>
    <w:rsid w:val="000D632F"/>
    <w:rsid w:val="000E0267"/>
    <w:rsid w:val="000E06A5"/>
    <w:rsid w:val="000E447E"/>
    <w:rsid w:val="000E5345"/>
    <w:rsid w:val="000F77ED"/>
    <w:rsid w:val="00106E66"/>
    <w:rsid w:val="0010714C"/>
    <w:rsid w:val="00112BA4"/>
    <w:rsid w:val="0011594D"/>
    <w:rsid w:val="001222F8"/>
    <w:rsid w:val="00130F67"/>
    <w:rsid w:val="0013139C"/>
    <w:rsid w:val="00133ADF"/>
    <w:rsid w:val="00136C85"/>
    <w:rsid w:val="00140660"/>
    <w:rsid w:val="0014086B"/>
    <w:rsid w:val="001436FA"/>
    <w:rsid w:val="001507E7"/>
    <w:rsid w:val="00154A52"/>
    <w:rsid w:val="00155188"/>
    <w:rsid w:val="001557CA"/>
    <w:rsid w:val="00176181"/>
    <w:rsid w:val="00177ABF"/>
    <w:rsid w:val="0019147D"/>
    <w:rsid w:val="001933AE"/>
    <w:rsid w:val="001A620E"/>
    <w:rsid w:val="001A7177"/>
    <w:rsid w:val="001B51EC"/>
    <w:rsid w:val="001D5B29"/>
    <w:rsid w:val="001D62CB"/>
    <w:rsid w:val="001E32C7"/>
    <w:rsid w:val="001F4A7C"/>
    <w:rsid w:val="001F79B6"/>
    <w:rsid w:val="0020218C"/>
    <w:rsid w:val="0020379E"/>
    <w:rsid w:val="00206038"/>
    <w:rsid w:val="00214562"/>
    <w:rsid w:val="00215B12"/>
    <w:rsid w:val="002216C9"/>
    <w:rsid w:val="00226589"/>
    <w:rsid w:val="00227922"/>
    <w:rsid w:val="00233D7B"/>
    <w:rsid w:val="00233D9B"/>
    <w:rsid w:val="0023463A"/>
    <w:rsid w:val="002366CE"/>
    <w:rsid w:val="002504CB"/>
    <w:rsid w:val="002666F2"/>
    <w:rsid w:val="00267B85"/>
    <w:rsid w:val="0027184F"/>
    <w:rsid w:val="00272DCD"/>
    <w:rsid w:val="0027481A"/>
    <w:rsid w:val="00276B81"/>
    <w:rsid w:val="00276DA2"/>
    <w:rsid w:val="00292312"/>
    <w:rsid w:val="00295911"/>
    <w:rsid w:val="00297F78"/>
    <w:rsid w:val="002A096E"/>
    <w:rsid w:val="002B0291"/>
    <w:rsid w:val="002C02B6"/>
    <w:rsid w:val="002C4B2F"/>
    <w:rsid w:val="002E434F"/>
    <w:rsid w:val="002E6419"/>
    <w:rsid w:val="002F70CA"/>
    <w:rsid w:val="00303068"/>
    <w:rsid w:val="00304C5D"/>
    <w:rsid w:val="00306404"/>
    <w:rsid w:val="00307EFC"/>
    <w:rsid w:val="00310BF4"/>
    <w:rsid w:val="00311C85"/>
    <w:rsid w:val="00312D3A"/>
    <w:rsid w:val="003139A1"/>
    <w:rsid w:val="0031707C"/>
    <w:rsid w:val="00317334"/>
    <w:rsid w:val="00330235"/>
    <w:rsid w:val="00336DE4"/>
    <w:rsid w:val="00350C0A"/>
    <w:rsid w:val="00354689"/>
    <w:rsid w:val="003621D4"/>
    <w:rsid w:val="00362B1E"/>
    <w:rsid w:val="003644EB"/>
    <w:rsid w:val="00365137"/>
    <w:rsid w:val="003666E0"/>
    <w:rsid w:val="00367083"/>
    <w:rsid w:val="00371D34"/>
    <w:rsid w:val="00376D82"/>
    <w:rsid w:val="00377C00"/>
    <w:rsid w:val="00380065"/>
    <w:rsid w:val="00381054"/>
    <w:rsid w:val="0038177F"/>
    <w:rsid w:val="00383CFC"/>
    <w:rsid w:val="003855F7"/>
    <w:rsid w:val="00386471"/>
    <w:rsid w:val="003870D4"/>
    <w:rsid w:val="00390393"/>
    <w:rsid w:val="00392557"/>
    <w:rsid w:val="00392FDF"/>
    <w:rsid w:val="003A7A4E"/>
    <w:rsid w:val="003B017C"/>
    <w:rsid w:val="003B2ABA"/>
    <w:rsid w:val="003C1C8B"/>
    <w:rsid w:val="003C1D7B"/>
    <w:rsid w:val="003C3316"/>
    <w:rsid w:val="003C3CD1"/>
    <w:rsid w:val="003C6D75"/>
    <w:rsid w:val="003C6E01"/>
    <w:rsid w:val="003C71F2"/>
    <w:rsid w:val="003D1BEA"/>
    <w:rsid w:val="003E085D"/>
    <w:rsid w:val="003E4D77"/>
    <w:rsid w:val="004009EB"/>
    <w:rsid w:val="00401F12"/>
    <w:rsid w:val="00403094"/>
    <w:rsid w:val="004032CA"/>
    <w:rsid w:val="00405B14"/>
    <w:rsid w:val="0040638D"/>
    <w:rsid w:val="00412229"/>
    <w:rsid w:val="004142CC"/>
    <w:rsid w:val="00416183"/>
    <w:rsid w:val="00420A15"/>
    <w:rsid w:val="00435125"/>
    <w:rsid w:val="00437385"/>
    <w:rsid w:val="00442BE1"/>
    <w:rsid w:val="00451918"/>
    <w:rsid w:val="0046503E"/>
    <w:rsid w:val="004813B7"/>
    <w:rsid w:val="00483E42"/>
    <w:rsid w:val="00492DB5"/>
    <w:rsid w:val="004A3B70"/>
    <w:rsid w:val="004B5AB4"/>
    <w:rsid w:val="004B6EAC"/>
    <w:rsid w:val="004B7041"/>
    <w:rsid w:val="004C1481"/>
    <w:rsid w:val="004D0BFB"/>
    <w:rsid w:val="004D4F7E"/>
    <w:rsid w:val="004D6138"/>
    <w:rsid w:val="004E0BA8"/>
    <w:rsid w:val="004E4130"/>
    <w:rsid w:val="004E4A78"/>
    <w:rsid w:val="004F472F"/>
    <w:rsid w:val="004F4D34"/>
    <w:rsid w:val="005054BC"/>
    <w:rsid w:val="00511185"/>
    <w:rsid w:val="0051692D"/>
    <w:rsid w:val="00521292"/>
    <w:rsid w:val="00524902"/>
    <w:rsid w:val="00526250"/>
    <w:rsid w:val="00526748"/>
    <w:rsid w:val="00532FC9"/>
    <w:rsid w:val="005336B7"/>
    <w:rsid w:val="00540D7D"/>
    <w:rsid w:val="00546005"/>
    <w:rsid w:val="00546BF0"/>
    <w:rsid w:val="00551345"/>
    <w:rsid w:val="00553447"/>
    <w:rsid w:val="005557E7"/>
    <w:rsid w:val="005608E0"/>
    <w:rsid w:val="00563818"/>
    <w:rsid w:val="00567695"/>
    <w:rsid w:val="00570409"/>
    <w:rsid w:val="00572004"/>
    <w:rsid w:val="00575855"/>
    <w:rsid w:val="005773E0"/>
    <w:rsid w:val="0057746A"/>
    <w:rsid w:val="0058356D"/>
    <w:rsid w:val="00585890"/>
    <w:rsid w:val="00585EC6"/>
    <w:rsid w:val="005919A5"/>
    <w:rsid w:val="00593FDC"/>
    <w:rsid w:val="005973D9"/>
    <w:rsid w:val="005A2AE2"/>
    <w:rsid w:val="005A58CA"/>
    <w:rsid w:val="005A60E8"/>
    <w:rsid w:val="005B11AD"/>
    <w:rsid w:val="005B5631"/>
    <w:rsid w:val="005C4021"/>
    <w:rsid w:val="005C52B1"/>
    <w:rsid w:val="005D22DA"/>
    <w:rsid w:val="005D2758"/>
    <w:rsid w:val="005F2D45"/>
    <w:rsid w:val="005F35F5"/>
    <w:rsid w:val="006022A1"/>
    <w:rsid w:val="00610D17"/>
    <w:rsid w:val="00614AC7"/>
    <w:rsid w:val="00615269"/>
    <w:rsid w:val="0061613B"/>
    <w:rsid w:val="00624537"/>
    <w:rsid w:val="006438CA"/>
    <w:rsid w:val="00643ED1"/>
    <w:rsid w:val="00644211"/>
    <w:rsid w:val="00644F69"/>
    <w:rsid w:val="00650EFC"/>
    <w:rsid w:val="00656C92"/>
    <w:rsid w:val="0066457E"/>
    <w:rsid w:val="00676441"/>
    <w:rsid w:val="006823BD"/>
    <w:rsid w:val="0068455A"/>
    <w:rsid w:val="00685875"/>
    <w:rsid w:val="006878F8"/>
    <w:rsid w:val="00693AA7"/>
    <w:rsid w:val="006963A0"/>
    <w:rsid w:val="006A5472"/>
    <w:rsid w:val="006B15BD"/>
    <w:rsid w:val="006B50AB"/>
    <w:rsid w:val="006C000B"/>
    <w:rsid w:val="006C7447"/>
    <w:rsid w:val="006D02CC"/>
    <w:rsid w:val="006D3561"/>
    <w:rsid w:val="006E488E"/>
    <w:rsid w:val="006E4E97"/>
    <w:rsid w:val="006E65D7"/>
    <w:rsid w:val="006E7DA5"/>
    <w:rsid w:val="006F0732"/>
    <w:rsid w:val="006F36D5"/>
    <w:rsid w:val="006F6606"/>
    <w:rsid w:val="00707603"/>
    <w:rsid w:val="00710589"/>
    <w:rsid w:val="00712127"/>
    <w:rsid w:val="007240EE"/>
    <w:rsid w:val="007264A5"/>
    <w:rsid w:val="0074199C"/>
    <w:rsid w:val="00765FA2"/>
    <w:rsid w:val="00775865"/>
    <w:rsid w:val="00783474"/>
    <w:rsid w:val="00783A8B"/>
    <w:rsid w:val="007865F7"/>
    <w:rsid w:val="0079041B"/>
    <w:rsid w:val="00796B06"/>
    <w:rsid w:val="007A2827"/>
    <w:rsid w:val="007A3CE5"/>
    <w:rsid w:val="007C3267"/>
    <w:rsid w:val="007D6197"/>
    <w:rsid w:val="007D7394"/>
    <w:rsid w:val="007E0F25"/>
    <w:rsid w:val="007E71D3"/>
    <w:rsid w:val="007E7317"/>
    <w:rsid w:val="007E77C8"/>
    <w:rsid w:val="00801634"/>
    <w:rsid w:val="00801D3F"/>
    <w:rsid w:val="00805670"/>
    <w:rsid w:val="0081102D"/>
    <w:rsid w:val="008230D6"/>
    <w:rsid w:val="00823FD8"/>
    <w:rsid w:val="008374A9"/>
    <w:rsid w:val="00841957"/>
    <w:rsid w:val="00841E4E"/>
    <w:rsid w:val="0084336B"/>
    <w:rsid w:val="0084383B"/>
    <w:rsid w:val="00843CEF"/>
    <w:rsid w:val="0084495C"/>
    <w:rsid w:val="00855B74"/>
    <w:rsid w:val="008624AF"/>
    <w:rsid w:val="008655D5"/>
    <w:rsid w:val="00870747"/>
    <w:rsid w:val="00871F0F"/>
    <w:rsid w:val="0087419E"/>
    <w:rsid w:val="00882061"/>
    <w:rsid w:val="00883CE1"/>
    <w:rsid w:val="00884655"/>
    <w:rsid w:val="0089292B"/>
    <w:rsid w:val="008A0CFF"/>
    <w:rsid w:val="008A3E08"/>
    <w:rsid w:val="008C556A"/>
    <w:rsid w:val="008C717F"/>
    <w:rsid w:val="008E7BD8"/>
    <w:rsid w:val="008F2B32"/>
    <w:rsid w:val="008F6F33"/>
    <w:rsid w:val="009019D7"/>
    <w:rsid w:val="009041E8"/>
    <w:rsid w:val="00904C3D"/>
    <w:rsid w:val="00904D3C"/>
    <w:rsid w:val="0090587B"/>
    <w:rsid w:val="00905E4A"/>
    <w:rsid w:val="009073BF"/>
    <w:rsid w:val="00911159"/>
    <w:rsid w:val="00913E81"/>
    <w:rsid w:val="00916FD0"/>
    <w:rsid w:val="00922262"/>
    <w:rsid w:val="009262FA"/>
    <w:rsid w:val="00927713"/>
    <w:rsid w:val="00931DAD"/>
    <w:rsid w:val="009426E0"/>
    <w:rsid w:val="0094469F"/>
    <w:rsid w:val="00946829"/>
    <w:rsid w:val="00955DA2"/>
    <w:rsid w:val="00963AE4"/>
    <w:rsid w:val="00981833"/>
    <w:rsid w:val="009869D9"/>
    <w:rsid w:val="009A18B0"/>
    <w:rsid w:val="009A4969"/>
    <w:rsid w:val="009A6691"/>
    <w:rsid w:val="009B45E3"/>
    <w:rsid w:val="009B743E"/>
    <w:rsid w:val="009B79CD"/>
    <w:rsid w:val="009D2FF5"/>
    <w:rsid w:val="009D777C"/>
    <w:rsid w:val="009D7FAC"/>
    <w:rsid w:val="009E6B16"/>
    <w:rsid w:val="009F59F2"/>
    <w:rsid w:val="009F5AB2"/>
    <w:rsid w:val="00A21F8D"/>
    <w:rsid w:val="00A22387"/>
    <w:rsid w:val="00A27F70"/>
    <w:rsid w:val="00A32432"/>
    <w:rsid w:val="00A3287E"/>
    <w:rsid w:val="00A42548"/>
    <w:rsid w:val="00A63ABB"/>
    <w:rsid w:val="00A8133A"/>
    <w:rsid w:val="00A95EE3"/>
    <w:rsid w:val="00A961C2"/>
    <w:rsid w:val="00AA2F34"/>
    <w:rsid w:val="00AA4AD0"/>
    <w:rsid w:val="00AC0B79"/>
    <w:rsid w:val="00AC266E"/>
    <w:rsid w:val="00AC27A1"/>
    <w:rsid w:val="00AC2EE1"/>
    <w:rsid w:val="00AD21E2"/>
    <w:rsid w:val="00AD51AB"/>
    <w:rsid w:val="00AE1F7A"/>
    <w:rsid w:val="00AE2BB6"/>
    <w:rsid w:val="00AE5E4C"/>
    <w:rsid w:val="00AF6844"/>
    <w:rsid w:val="00B00AE6"/>
    <w:rsid w:val="00B03293"/>
    <w:rsid w:val="00B10597"/>
    <w:rsid w:val="00B14F75"/>
    <w:rsid w:val="00B16213"/>
    <w:rsid w:val="00B22C99"/>
    <w:rsid w:val="00B353DD"/>
    <w:rsid w:val="00B364AB"/>
    <w:rsid w:val="00B371C0"/>
    <w:rsid w:val="00B40620"/>
    <w:rsid w:val="00B52F7D"/>
    <w:rsid w:val="00B71F57"/>
    <w:rsid w:val="00B75CF2"/>
    <w:rsid w:val="00B8174E"/>
    <w:rsid w:val="00B8591D"/>
    <w:rsid w:val="00B86E45"/>
    <w:rsid w:val="00B878BC"/>
    <w:rsid w:val="00B9347A"/>
    <w:rsid w:val="00B95A6F"/>
    <w:rsid w:val="00BA689B"/>
    <w:rsid w:val="00BC0A3C"/>
    <w:rsid w:val="00BC5505"/>
    <w:rsid w:val="00BC7401"/>
    <w:rsid w:val="00BD0F84"/>
    <w:rsid w:val="00BD1A3B"/>
    <w:rsid w:val="00BD484D"/>
    <w:rsid w:val="00BF6149"/>
    <w:rsid w:val="00C0104D"/>
    <w:rsid w:val="00C0486F"/>
    <w:rsid w:val="00C13ECE"/>
    <w:rsid w:val="00C17D11"/>
    <w:rsid w:val="00C26E73"/>
    <w:rsid w:val="00C31D51"/>
    <w:rsid w:val="00C34C3C"/>
    <w:rsid w:val="00C37E0A"/>
    <w:rsid w:val="00C42333"/>
    <w:rsid w:val="00C47C9C"/>
    <w:rsid w:val="00C47EB4"/>
    <w:rsid w:val="00C501CE"/>
    <w:rsid w:val="00C61B54"/>
    <w:rsid w:val="00C631F4"/>
    <w:rsid w:val="00C65124"/>
    <w:rsid w:val="00C7021E"/>
    <w:rsid w:val="00C74CAF"/>
    <w:rsid w:val="00C80EA0"/>
    <w:rsid w:val="00C85E1B"/>
    <w:rsid w:val="00C9632B"/>
    <w:rsid w:val="00CB1931"/>
    <w:rsid w:val="00CB59F9"/>
    <w:rsid w:val="00CC3381"/>
    <w:rsid w:val="00CC4E5F"/>
    <w:rsid w:val="00CD3F05"/>
    <w:rsid w:val="00CD6009"/>
    <w:rsid w:val="00CF256E"/>
    <w:rsid w:val="00CF389A"/>
    <w:rsid w:val="00CF3AD7"/>
    <w:rsid w:val="00D050BF"/>
    <w:rsid w:val="00D0609D"/>
    <w:rsid w:val="00D07460"/>
    <w:rsid w:val="00D07D8D"/>
    <w:rsid w:val="00D14C64"/>
    <w:rsid w:val="00D316DA"/>
    <w:rsid w:val="00D317EA"/>
    <w:rsid w:val="00D32E1F"/>
    <w:rsid w:val="00D35455"/>
    <w:rsid w:val="00D36300"/>
    <w:rsid w:val="00D436F2"/>
    <w:rsid w:val="00D51BE4"/>
    <w:rsid w:val="00D536A2"/>
    <w:rsid w:val="00D5585A"/>
    <w:rsid w:val="00D5679A"/>
    <w:rsid w:val="00D57638"/>
    <w:rsid w:val="00D66254"/>
    <w:rsid w:val="00D718DD"/>
    <w:rsid w:val="00D77C43"/>
    <w:rsid w:val="00D80ED4"/>
    <w:rsid w:val="00D83B88"/>
    <w:rsid w:val="00D86AD1"/>
    <w:rsid w:val="00DA1AE0"/>
    <w:rsid w:val="00DA6DC4"/>
    <w:rsid w:val="00DB76F0"/>
    <w:rsid w:val="00DD02A8"/>
    <w:rsid w:val="00DD6D5F"/>
    <w:rsid w:val="00DD7DD9"/>
    <w:rsid w:val="00DE17A3"/>
    <w:rsid w:val="00DE5CFD"/>
    <w:rsid w:val="00E0512B"/>
    <w:rsid w:val="00E0515E"/>
    <w:rsid w:val="00E108A7"/>
    <w:rsid w:val="00E143D6"/>
    <w:rsid w:val="00E2567F"/>
    <w:rsid w:val="00E3736A"/>
    <w:rsid w:val="00E40894"/>
    <w:rsid w:val="00E41C8F"/>
    <w:rsid w:val="00E41DE3"/>
    <w:rsid w:val="00E531E7"/>
    <w:rsid w:val="00E5786F"/>
    <w:rsid w:val="00E6072B"/>
    <w:rsid w:val="00E7245C"/>
    <w:rsid w:val="00E76493"/>
    <w:rsid w:val="00E9578A"/>
    <w:rsid w:val="00EA3BBE"/>
    <w:rsid w:val="00EB1061"/>
    <w:rsid w:val="00EC195D"/>
    <w:rsid w:val="00EC3379"/>
    <w:rsid w:val="00ED55A2"/>
    <w:rsid w:val="00EF09D3"/>
    <w:rsid w:val="00EF5985"/>
    <w:rsid w:val="00F06223"/>
    <w:rsid w:val="00F0772E"/>
    <w:rsid w:val="00F07805"/>
    <w:rsid w:val="00F1604E"/>
    <w:rsid w:val="00F16A8F"/>
    <w:rsid w:val="00F2155F"/>
    <w:rsid w:val="00F25C37"/>
    <w:rsid w:val="00F33A42"/>
    <w:rsid w:val="00F36676"/>
    <w:rsid w:val="00F42ADA"/>
    <w:rsid w:val="00F4437E"/>
    <w:rsid w:val="00F5346B"/>
    <w:rsid w:val="00F54317"/>
    <w:rsid w:val="00F548CD"/>
    <w:rsid w:val="00F54F4D"/>
    <w:rsid w:val="00F603D8"/>
    <w:rsid w:val="00F70B40"/>
    <w:rsid w:val="00F724B1"/>
    <w:rsid w:val="00F861A2"/>
    <w:rsid w:val="00F945AB"/>
    <w:rsid w:val="00FA6964"/>
    <w:rsid w:val="00FA7F0A"/>
    <w:rsid w:val="00FB1FA4"/>
    <w:rsid w:val="00FB3DF5"/>
    <w:rsid w:val="00FB6579"/>
    <w:rsid w:val="00FC14E4"/>
    <w:rsid w:val="00FC2462"/>
    <w:rsid w:val="00FC3B96"/>
    <w:rsid w:val="00FC63A9"/>
    <w:rsid w:val="00FD16D1"/>
    <w:rsid w:val="00FD52B1"/>
    <w:rsid w:val="00FD79E3"/>
    <w:rsid w:val="00FD7B1B"/>
    <w:rsid w:val="00FF011B"/>
    <w:rsid w:val="00FF2C0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F2"/>
  </w:style>
  <w:style w:type="paragraph" w:styleId="1">
    <w:name w:val="heading 1"/>
    <w:basedOn w:val="a"/>
    <w:next w:val="a0"/>
    <w:link w:val="10"/>
    <w:qFormat/>
    <w:rsid w:val="00D317EA"/>
    <w:pPr>
      <w:numPr>
        <w:numId w:val="2"/>
      </w:numPr>
      <w:tabs>
        <w:tab w:val="left" w:pos="567"/>
      </w:tabs>
      <w:spacing w:before="120" w:after="120" w:line="240" w:lineRule="auto"/>
      <w:ind w:left="0"/>
      <w:jc w:val="both"/>
      <w:outlineLvl w:val="0"/>
    </w:pPr>
    <w:rPr>
      <w:rFonts w:ascii="Times New Roman" w:eastAsia="Times New Roman" w:hAnsi="Times New Roman" w:cs="Times New Roman"/>
      <w:b/>
      <w:noProof/>
      <w:snapToGrid w:val="0"/>
      <w:kern w:val="28"/>
      <w:sz w:val="24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D317EA"/>
    <w:pPr>
      <w:keepNext/>
      <w:numPr>
        <w:ilvl w:val="1"/>
        <w:numId w:val="2"/>
      </w:numPr>
      <w:tabs>
        <w:tab w:val="clear" w:pos="1211"/>
        <w:tab w:val="left" w:pos="1418"/>
      </w:tabs>
      <w:spacing w:before="120" w:after="120" w:line="240" w:lineRule="auto"/>
      <w:ind w:left="0" w:firstLine="567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D317EA"/>
    <w:pPr>
      <w:numPr>
        <w:ilvl w:val="2"/>
        <w:numId w:val="2"/>
      </w:numPr>
      <w:tabs>
        <w:tab w:val="clear" w:pos="1429"/>
        <w:tab w:val="left" w:pos="1418"/>
      </w:tabs>
      <w:spacing w:before="120" w:after="60" w:line="240" w:lineRule="auto"/>
      <w:ind w:left="0"/>
      <w:jc w:val="both"/>
      <w:outlineLvl w:val="2"/>
    </w:pPr>
    <w:rPr>
      <w:rFonts w:ascii="Times New Roman" w:eastAsia="Times New Roman" w:hAnsi="Times New Roman" w:cs="Times New Roman"/>
      <w:snapToGrid w:val="0"/>
      <w:kern w:val="28"/>
      <w:sz w:val="24"/>
      <w:szCs w:val="20"/>
      <w:lang w:eastAsia="ru-RU"/>
    </w:rPr>
  </w:style>
  <w:style w:type="paragraph" w:styleId="4">
    <w:name w:val="heading 4"/>
    <w:basedOn w:val="a"/>
    <w:next w:val="a0"/>
    <w:link w:val="40"/>
    <w:qFormat/>
    <w:rsid w:val="00D317EA"/>
    <w:pPr>
      <w:numPr>
        <w:ilvl w:val="3"/>
        <w:numId w:val="2"/>
      </w:numPr>
      <w:tabs>
        <w:tab w:val="left" w:pos="1418"/>
      </w:tabs>
      <w:spacing w:before="60" w:after="0" w:line="240" w:lineRule="auto"/>
      <w:ind w:left="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70747"/>
    <w:pPr>
      <w:keepNext/>
      <w:widowControl w:val="0"/>
      <w:adjustRightInd w:val="0"/>
      <w:spacing w:before="100" w:beforeAutospacing="1" w:after="100" w:afterAutospacing="1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iCs/>
      <w:sz w:val="28"/>
      <w:szCs w:val="20"/>
    </w:rPr>
  </w:style>
  <w:style w:type="paragraph" w:styleId="9">
    <w:name w:val="heading 9"/>
    <w:basedOn w:val="a"/>
    <w:next w:val="a"/>
    <w:link w:val="90"/>
    <w:qFormat/>
    <w:rsid w:val="00870747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870747"/>
    <w:rPr>
      <w:rFonts w:ascii="Arial" w:eastAsia="Times New Roman" w:hAnsi="Arial" w:cs="Times New Roman"/>
      <w:i/>
      <w:iCs/>
      <w:sz w:val="28"/>
      <w:szCs w:val="20"/>
    </w:rPr>
  </w:style>
  <w:style w:type="character" w:customStyle="1" w:styleId="90">
    <w:name w:val="Заголовок 9 Знак"/>
    <w:basedOn w:val="a1"/>
    <w:link w:val="9"/>
    <w:rsid w:val="0087074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wordstatusChar">
    <w:name w:val="Tword_status Char"/>
    <w:basedOn w:val="a1"/>
    <w:link w:val="Twordstatus"/>
    <w:rsid w:val="00870747"/>
    <w:rPr>
      <w:rFonts w:ascii="ISOCPEUR" w:hAnsi="ISOCPEUR"/>
      <w:i/>
      <w:sz w:val="28"/>
      <w:lang w:eastAsia="ru-RU"/>
    </w:rPr>
  </w:style>
  <w:style w:type="paragraph" w:customStyle="1" w:styleId="Twordstatus">
    <w:name w:val="Tword_status"/>
    <w:basedOn w:val="a"/>
    <w:link w:val="TwordstatusChar"/>
    <w:rsid w:val="00870747"/>
    <w:pPr>
      <w:widowControl w:val="0"/>
      <w:adjustRightInd w:val="0"/>
      <w:spacing w:after="0" w:line="360" w:lineRule="auto"/>
      <w:textAlignment w:val="baseline"/>
    </w:pPr>
    <w:rPr>
      <w:rFonts w:ascii="ISOCPEUR" w:hAnsi="ISOCPEUR"/>
      <w:i/>
      <w:sz w:val="28"/>
      <w:lang w:eastAsia="ru-RU"/>
    </w:rPr>
  </w:style>
  <w:style w:type="paragraph" w:styleId="21">
    <w:name w:val="toc 2"/>
    <w:basedOn w:val="a"/>
    <w:next w:val="a"/>
    <w:semiHidden/>
    <w:rsid w:val="00870747"/>
    <w:pPr>
      <w:widowControl w:val="0"/>
      <w:tabs>
        <w:tab w:val="right" w:leader="dot" w:pos="8221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Twordtitleoboz">
    <w:name w:val="Tword_title_oboz"/>
    <w:basedOn w:val="a"/>
    <w:rsid w:val="00870747"/>
    <w:pPr>
      <w:widowControl w:val="0"/>
      <w:adjustRightInd w:val="0"/>
      <w:spacing w:after="0" w:line="240" w:lineRule="auto"/>
      <w:jc w:val="center"/>
      <w:textAlignment w:val="baseline"/>
    </w:pPr>
    <w:rPr>
      <w:rFonts w:ascii="ISOCPEUR" w:eastAsia="Times New Roman" w:hAnsi="ISOCPEUR" w:cs="Arial"/>
      <w:i/>
      <w:sz w:val="38"/>
      <w:szCs w:val="32"/>
      <w:lang w:eastAsia="ru-RU"/>
    </w:rPr>
  </w:style>
  <w:style w:type="paragraph" w:customStyle="1" w:styleId="Twordsign">
    <w:name w:val="Tword_sign"/>
    <w:basedOn w:val="a"/>
    <w:rsid w:val="00870747"/>
    <w:pPr>
      <w:framePr w:hSpace="180" w:wrap="around" w:vAnchor="page" w:hAnchor="margin" w:y="2556"/>
      <w:widowControl w:val="0"/>
      <w:adjustRightInd w:val="0"/>
      <w:spacing w:after="0" w:line="360" w:lineRule="auto"/>
      <w:textAlignment w:val="baseline"/>
    </w:pPr>
    <w:rPr>
      <w:rFonts w:ascii="ISOCPEUR" w:eastAsia="Times New Roman" w:hAnsi="ISOCPEUR" w:cs="Times New Roman"/>
      <w:i/>
      <w:sz w:val="28"/>
      <w:szCs w:val="24"/>
      <w:lang w:eastAsia="ru-RU"/>
    </w:rPr>
  </w:style>
  <w:style w:type="paragraph" w:customStyle="1" w:styleId="Twordnormal">
    <w:name w:val="Tword_normal"/>
    <w:basedOn w:val="a"/>
    <w:link w:val="Twordnormal0"/>
    <w:rsid w:val="00870747"/>
    <w:pPr>
      <w:spacing w:after="0" w:line="240" w:lineRule="auto"/>
      <w:ind w:firstLine="709"/>
      <w:jc w:val="both"/>
    </w:pPr>
    <w:rPr>
      <w:rFonts w:ascii="ISOCPEUR" w:eastAsia="Times New Roman" w:hAnsi="ISOCPEUR" w:cs="Times New Roman"/>
      <w:i/>
      <w:sz w:val="28"/>
      <w:szCs w:val="24"/>
      <w:lang w:eastAsia="ru-RU"/>
    </w:rPr>
  </w:style>
  <w:style w:type="paragraph" w:customStyle="1" w:styleId="Twordcommand">
    <w:name w:val="Tword_command"/>
    <w:basedOn w:val="Twordnormal"/>
    <w:link w:val="Twordcommand0"/>
    <w:rsid w:val="00870747"/>
    <w:rPr>
      <w:b/>
    </w:rPr>
  </w:style>
  <w:style w:type="character" w:customStyle="1" w:styleId="Twordnormal0">
    <w:name w:val="Tword_normal Знак"/>
    <w:basedOn w:val="a1"/>
    <w:link w:val="Twordnormal"/>
    <w:rsid w:val="00870747"/>
    <w:rPr>
      <w:rFonts w:ascii="ISOCPEUR" w:eastAsia="Times New Roman" w:hAnsi="ISOCPEUR" w:cs="Times New Roman"/>
      <w:i/>
      <w:sz w:val="28"/>
      <w:szCs w:val="24"/>
      <w:lang w:eastAsia="ru-RU"/>
    </w:rPr>
  </w:style>
  <w:style w:type="character" w:customStyle="1" w:styleId="Twordcommand0">
    <w:name w:val="Tword_command Знак"/>
    <w:basedOn w:val="Twordnormal0"/>
    <w:link w:val="Twordcommand"/>
    <w:rsid w:val="00870747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707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023E43"/>
    <w:pPr>
      <w:ind w:left="720"/>
      <w:contextualSpacing/>
    </w:pPr>
  </w:style>
  <w:style w:type="table" w:styleId="a7">
    <w:name w:val="Table Grid"/>
    <w:basedOn w:val="a2"/>
    <w:uiPriority w:val="59"/>
    <w:rsid w:val="0002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C1481"/>
  </w:style>
  <w:style w:type="character" w:customStyle="1" w:styleId="10">
    <w:name w:val="Заголовок 1 Знак"/>
    <w:basedOn w:val="a1"/>
    <w:link w:val="1"/>
    <w:rsid w:val="00D317EA"/>
    <w:rPr>
      <w:rFonts w:ascii="Times New Roman" w:eastAsia="Times New Roman" w:hAnsi="Times New Roman" w:cs="Times New Roman"/>
      <w:b/>
      <w:noProof/>
      <w:snapToGrid w:val="0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317E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317EA"/>
    <w:rPr>
      <w:rFonts w:ascii="Times New Roman" w:eastAsia="Times New Roman" w:hAnsi="Times New Roman" w:cs="Times New Roman"/>
      <w:snapToGrid w:val="0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31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8"/>
    <w:uiPriority w:val="99"/>
    <w:unhideWhenUsed/>
    <w:rsid w:val="00D317E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D317EA"/>
  </w:style>
  <w:style w:type="paragraph" w:styleId="22">
    <w:name w:val="Body Text 2"/>
    <w:basedOn w:val="a"/>
    <w:link w:val="23"/>
    <w:uiPriority w:val="99"/>
    <w:unhideWhenUsed/>
    <w:rsid w:val="006022A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6022A1"/>
  </w:style>
  <w:style w:type="paragraph" w:customStyle="1" w:styleId="Default">
    <w:name w:val="Default"/>
    <w:rsid w:val="00602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6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666E0"/>
  </w:style>
  <w:style w:type="paragraph" w:styleId="ab">
    <w:name w:val="footer"/>
    <w:basedOn w:val="a"/>
    <w:link w:val="ac"/>
    <w:uiPriority w:val="99"/>
    <w:unhideWhenUsed/>
    <w:rsid w:val="0036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666E0"/>
  </w:style>
  <w:style w:type="table" w:customStyle="1" w:styleId="TableNormal">
    <w:name w:val="Table Normal"/>
    <w:uiPriority w:val="2"/>
    <w:semiHidden/>
    <w:unhideWhenUsed/>
    <w:qFormat/>
    <w:rsid w:val="00AA4A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4A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1">
    <w:name w:val="1.1.1"/>
    <w:basedOn w:val="a"/>
    <w:rsid w:val="006F36D5"/>
    <w:pPr>
      <w:numPr>
        <w:numId w:val="36"/>
      </w:numPr>
    </w:pPr>
  </w:style>
  <w:style w:type="character" w:customStyle="1" w:styleId="Bodytext2">
    <w:name w:val="Body text (2)_"/>
    <w:basedOn w:val="a1"/>
    <w:link w:val="Bodytext20"/>
    <w:rsid w:val="00FA7F0A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7F0A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Bodytext3">
    <w:name w:val="Body text (3)_"/>
    <w:basedOn w:val="a1"/>
    <w:link w:val="Bodytext30"/>
    <w:rsid w:val="00FA7F0A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Tablecaption2">
    <w:name w:val="Table caption (2)_"/>
    <w:basedOn w:val="a1"/>
    <w:rsid w:val="00FA7F0A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FA7F0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A7F0A"/>
    <w:pPr>
      <w:widowControl w:val="0"/>
      <w:shd w:val="clear" w:color="auto" w:fill="FFFFFF"/>
      <w:spacing w:after="0" w:line="292" w:lineRule="exact"/>
      <w:jc w:val="right"/>
    </w:pPr>
    <w:rPr>
      <w:rFonts w:ascii="Tahoma" w:eastAsia="Tahoma" w:hAnsi="Tahoma" w:cs="Tahoma"/>
      <w:sz w:val="18"/>
      <w:szCs w:val="18"/>
    </w:rPr>
  </w:style>
  <w:style w:type="character" w:customStyle="1" w:styleId="Bodytext2TimesNewRoman10ptBold">
    <w:name w:val="Body text (2) + Times New Roman;10 pt;Bold"/>
    <w:basedOn w:val="Bodytext2"/>
    <w:rsid w:val="00CB5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95pt">
    <w:name w:val="Body text (2) + 9.5 pt"/>
    <w:basedOn w:val="Bodytext2"/>
    <w:rsid w:val="00CB59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DEA82-9FDD-400F-A793-A2AA0C70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pges</Company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Чагорова Ю.А.</cp:lastModifiedBy>
  <cp:revision>2</cp:revision>
  <cp:lastPrinted>2020-11-25T05:00:00Z</cp:lastPrinted>
  <dcterms:created xsi:type="dcterms:W3CDTF">2021-01-14T13:56:00Z</dcterms:created>
  <dcterms:modified xsi:type="dcterms:W3CDTF">2021-01-14T13:56:00Z</dcterms:modified>
</cp:coreProperties>
</file>