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4B208B">
        <w:rPr>
          <w:rFonts w:ascii="Arial" w:hAnsi="Arial" w:cs="Arial"/>
          <w:b/>
          <w:bCs/>
          <w:sz w:val="20"/>
          <w:szCs w:val="20"/>
        </w:rPr>
        <w:t>41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4B208B">
        <w:rPr>
          <w:rFonts w:ascii="Arial" w:hAnsi="Arial" w:cs="Arial"/>
          <w:b/>
          <w:bCs/>
          <w:sz w:val="20"/>
          <w:szCs w:val="20"/>
        </w:rPr>
        <w:t>22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C74D97">
        <w:rPr>
          <w:rFonts w:ascii="Arial" w:hAnsi="Arial" w:cs="Arial"/>
          <w:b/>
          <w:bCs/>
          <w:sz w:val="20"/>
          <w:szCs w:val="20"/>
        </w:rPr>
        <w:t>апреля</w:t>
      </w:r>
      <w:r w:rsidR="005D0D82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4B208B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4B208B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4B208B" w:rsidRPr="004B208B">
        <w:rPr>
          <w:rFonts w:ascii="Arial" w:hAnsi="Arial" w:cs="Arial"/>
          <w:b/>
          <w:sz w:val="20"/>
          <w:szCs w:val="20"/>
        </w:rPr>
        <w:t>на право заключения Договора на поставку и установку дверных блоков в административном здании литер</w:t>
      </w:r>
      <w:proofErr w:type="gramStart"/>
      <w:r w:rsidR="004B208B" w:rsidRPr="004B208B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4B208B" w:rsidRPr="004B208B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</w:t>
      </w:r>
      <w:r w:rsidR="004B208B" w:rsidRPr="004B208B">
        <w:rPr>
          <w:rFonts w:ascii="Arial" w:hAnsi="Arial" w:cs="Arial"/>
          <w:sz w:val="20"/>
          <w:szCs w:val="20"/>
        </w:rPr>
        <w:t xml:space="preserve"> </w:t>
      </w:r>
      <w:r w:rsidR="00D75BA3" w:rsidRPr="004B208B">
        <w:rPr>
          <w:rFonts w:ascii="Arial" w:hAnsi="Arial" w:cs="Arial"/>
          <w:sz w:val="20"/>
          <w:szCs w:val="20"/>
        </w:rPr>
        <w:t>(далее – работы)</w:t>
      </w:r>
      <w:r w:rsidR="00126239" w:rsidRPr="004B208B">
        <w:rPr>
          <w:rFonts w:ascii="Arial" w:hAnsi="Arial" w:cs="Arial"/>
          <w:sz w:val="20"/>
          <w:szCs w:val="20"/>
        </w:rPr>
        <w:t>.</w:t>
      </w:r>
    </w:p>
    <w:p w:rsidR="004B208B" w:rsidRPr="00D167E7" w:rsidRDefault="00244C7D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B20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4B208B">
        <w:rPr>
          <w:rFonts w:ascii="Arial" w:hAnsi="Arial" w:cs="Arial"/>
          <w:sz w:val="20"/>
          <w:szCs w:val="20"/>
        </w:rPr>
        <w:t>:</w:t>
      </w:r>
      <w:r w:rsidR="004B208B">
        <w:rPr>
          <w:rFonts w:ascii="Arial" w:hAnsi="Arial" w:cs="Arial"/>
          <w:sz w:val="20"/>
          <w:szCs w:val="20"/>
        </w:rPr>
        <w:t xml:space="preserve"> </w:t>
      </w:r>
      <w:r w:rsidR="004B208B" w:rsidRPr="004B208B">
        <w:rPr>
          <w:rFonts w:ascii="Arial" w:hAnsi="Arial" w:cs="Arial"/>
          <w:sz w:val="20"/>
          <w:szCs w:val="20"/>
        </w:rPr>
        <w:t>пост</w:t>
      </w:r>
      <w:r w:rsidR="004B208B">
        <w:rPr>
          <w:rFonts w:ascii="Arial" w:hAnsi="Arial" w:cs="Arial"/>
          <w:sz w:val="20"/>
          <w:szCs w:val="20"/>
        </w:rPr>
        <w:t>авка и установка</w:t>
      </w:r>
      <w:r w:rsidR="004B208B" w:rsidRPr="004B208B">
        <w:rPr>
          <w:rFonts w:ascii="Arial" w:hAnsi="Arial" w:cs="Arial"/>
          <w:sz w:val="20"/>
          <w:szCs w:val="20"/>
        </w:rPr>
        <w:t xml:space="preserve"> дверных блоков в административном здании литер</w:t>
      </w:r>
      <w:proofErr w:type="gramStart"/>
      <w:r w:rsidR="004B208B" w:rsidRPr="004B208B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B208B" w:rsidRPr="004B208B">
        <w:rPr>
          <w:rFonts w:ascii="Arial" w:hAnsi="Arial" w:cs="Arial"/>
          <w:sz w:val="20"/>
          <w:szCs w:val="20"/>
        </w:rPr>
        <w:t xml:space="preserve"> </w:t>
      </w:r>
      <w:r w:rsidR="004B208B" w:rsidRPr="00D167E7">
        <w:rPr>
          <w:rFonts w:ascii="Arial" w:hAnsi="Arial" w:cs="Arial"/>
          <w:sz w:val="20"/>
          <w:szCs w:val="20"/>
        </w:rPr>
        <w:t>по адресу – г. Пенза, ул. Стрельбищенская, 13.</w:t>
      </w:r>
    </w:p>
    <w:p w:rsidR="00D167E7" w:rsidRPr="00D167E7" w:rsidRDefault="00C670FA" w:rsidP="00D167E7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D167E7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D167E7">
        <w:rPr>
          <w:rFonts w:ascii="Arial" w:hAnsi="Arial" w:cs="Arial"/>
          <w:sz w:val="20"/>
          <w:szCs w:val="20"/>
        </w:rPr>
        <w:t>Условия оплаты</w:t>
      </w:r>
      <w:r w:rsidRPr="00D167E7">
        <w:rPr>
          <w:rFonts w:ascii="Arial" w:hAnsi="Arial" w:cs="Arial"/>
          <w:sz w:val="20"/>
          <w:szCs w:val="20"/>
        </w:rPr>
        <w:t xml:space="preserve">: </w:t>
      </w:r>
      <w:r w:rsidR="00D167E7" w:rsidRPr="00D167E7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календарных дней после заключения договора. Оставшиеся 50% перечисляются на счет Поставщика не позднее 10 (десяти) календарных дней после поставки, установки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115BBC" w:rsidRPr="00D167E7" w:rsidRDefault="00115BBC" w:rsidP="00D167E7">
      <w:pPr>
        <w:pStyle w:val="af4"/>
        <w:numPr>
          <w:ilvl w:val="2"/>
          <w:numId w:val="9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b/>
          <w:sz w:val="20"/>
          <w:szCs w:val="20"/>
        </w:rPr>
        <w:t xml:space="preserve">Срок </w:t>
      </w:r>
      <w:r w:rsidR="00D167E7" w:rsidRPr="00D167E7">
        <w:rPr>
          <w:rFonts w:ascii="Arial" w:hAnsi="Arial" w:cs="Arial"/>
          <w:b/>
          <w:sz w:val="20"/>
          <w:szCs w:val="20"/>
        </w:rPr>
        <w:t xml:space="preserve">поставки и </w:t>
      </w:r>
      <w:r w:rsidRPr="00D167E7">
        <w:rPr>
          <w:rFonts w:ascii="Arial" w:hAnsi="Arial" w:cs="Arial"/>
          <w:b/>
          <w:sz w:val="20"/>
          <w:szCs w:val="20"/>
        </w:rPr>
        <w:t xml:space="preserve">выполнения работ: </w:t>
      </w:r>
      <w:r w:rsidR="00D167E7" w:rsidRPr="00D167E7">
        <w:rPr>
          <w:rFonts w:ascii="Arial" w:hAnsi="Arial" w:cs="Arial"/>
          <w:sz w:val="20"/>
          <w:szCs w:val="20"/>
        </w:rPr>
        <w:t xml:space="preserve">не более 60 (шестидесяти) календарных дней с момента подписания договора. Поставка, а так же монтаж изделий производится Поставщиком на территории производственной базы ЗАО «Пензенская горэлектросеть», по адресу – </w:t>
      </w:r>
      <w:proofErr w:type="gramStart"/>
      <w:r w:rsidR="00D167E7" w:rsidRPr="00D167E7">
        <w:rPr>
          <w:rFonts w:ascii="Arial" w:hAnsi="Arial" w:cs="Arial"/>
          <w:sz w:val="20"/>
          <w:szCs w:val="20"/>
        </w:rPr>
        <w:t>г</w:t>
      </w:r>
      <w:proofErr w:type="gramEnd"/>
      <w:r w:rsidR="00D167E7" w:rsidRPr="00D167E7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442DB1" w:rsidRPr="00D167E7" w:rsidRDefault="00442DB1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167E7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D167E7" w:rsidRPr="00D167E7" w:rsidRDefault="00D167E7" w:rsidP="00D167E7">
      <w:pPr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sz w:val="20"/>
          <w:szCs w:val="20"/>
        </w:rPr>
        <w:t>Участник запроса предложений в случае признания его победителем должен:</w:t>
      </w:r>
    </w:p>
    <w:p w:rsidR="00D167E7" w:rsidRPr="00D167E7" w:rsidRDefault="00D167E7" w:rsidP="00D167E7">
      <w:pPr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sz w:val="20"/>
          <w:szCs w:val="20"/>
        </w:rPr>
        <w:t>- выполнить полную поставку изделий,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D167E7" w:rsidRPr="00D167E7" w:rsidRDefault="00D167E7" w:rsidP="00D167E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D167E7" w:rsidRPr="00D167E7" w:rsidRDefault="00D167E7" w:rsidP="00D167E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sz w:val="20"/>
          <w:szCs w:val="20"/>
        </w:rPr>
        <w:t>-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D167E7" w:rsidRPr="00D167E7" w:rsidRDefault="00D167E7" w:rsidP="00D167E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D167E7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Поставщиком своих обязанностей по настоящему Договору в отношении персонала Поставщика.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B0213E" w:rsidRPr="00B0213E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>
        <w:rPr>
          <w:rFonts w:ascii="Arial" w:hAnsi="Arial" w:cs="Arial"/>
          <w:sz w:val="20"/>
          <w:szCs w:val="20"/>
        </w:rPr>
        <w:t>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397C30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97C30" w:rsidRPr="0008098F">
        <w:rPr>
          <w:rFonts w:ascii="Arial" w:hAnsi="Arial" w:cs="Arial"/>
          <w:sz w:val="20"/>
          <w:szCs w:val="20"/>
        </w:rPr>
      </w:r>
      <w:r w:rsidR="00397C30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97C30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97C30" w:rsidRPr="0008098F">
        <w:rPr>
          <w:rFonts w:ascii="Arial" w:hAnsi="Arial" w:cs="Arial"/>
          <w:sz w:val="20"/>
          <w:szCs w:val="20"/>
        </w:rPr>
      </w:r>
      <w:r w:rsidR="00397C30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397C30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97C30" w:rsidRPr="0008098F">
        <w:rPr>
          <w:rFonts w:ascii="Arial" w:hAnsi="Arial" w:cs="Arial"/>
          <w:sz w:val="20"/>
          <w:szCs w:val="20"/>
        </w:rPr>
      </w:r>
      <w:r w:rsidR="00397C30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397C30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97C30" w:rsidRPr="0008098F">
        <w:rPr>
          <w:rFonts w:ascii="Arial" w:hAnsi="Arial" w:cs="Arial"/>
          <w:sz w:val="20"/>
          <w:szCs w:val="20"/>
        </w:rPr>
      </w:r>
      <w:r w:rsidR="00397C30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B0213E" w:rsidRPr="00B0213E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D167E7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213E" w:rsidRPr="00B0213E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BC454B" w:rsidRPr="00BC454B" w:rsidRDefault="00BC454B" w:rsidP="00BC454B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BC454B">
        <w:rPr>
          <w:rFonts w:ascii="Arial" w:hAnsi="Arial" w:cs="Arial"/>
          <w:snapToGrid w:val="0"/>
          <w:sz w:val="20"/>
          <w:szCs w:val="20"/>
        </w:rPr>
        <w:t xml:space="preserve">Благодарственные письма, положительные отзывы </w:t>
      </w:r>
      <w:r>
        <w:rPr>
          <w:rFonts w:ascii="Arial" w:hAnsi="Arial" w:cs="Arial"/>
          <w:snapToGrid w:val="0"/>
          <w:sz w:val="20"/>
          <w:szCs w:val="20"/>
        </w:rPr>
        <w:t>(при наличии)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</w:t>
      </w:r>
      <w:r w:rsidR="00D167E7">
        <w:rPr>
          <w:rFonts w:ascii="Arial" w:hAnsi="Arial" w:cs="Arial"/>
          <w:b/>
          <w:sz w:val="20"/>
          <w:szCs w:val="20"/>
        </w:rPr>
        <w:t xml:space="preserve">1 360 000,00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D167E7">
        <w:rPr>
          <w:rFonts w:ascii="Arial" w:hAnsi="Arial" w:cs="Arial"/>
          <w:b/>
          <w:sz w:val="20"/>
          <w:szCs w:val="20"/>
        </w:rPr>
        <w:t xml:space="preserve">1 133 333,33 </w:t>
      </w:r>
      <w:r w:rsidR="00442DB1">
        <w:rPr>
          <w:rFonts w:ascii="Arial" w:hAnsi="Arial" w:cs="Arial"/>
          <w:b/>
          <w:sz w:val="20"/>
          <w:szCs w:val="20"/>
        </w:rPr>
        <w:t xml:space="preserve"> </w:t>
      </w:r>
      <w:r w:rsidR="00E333A1" w:rsidRPr="00B27E4B">
        <w:rPr>
          <w:rFonts w:ascii="Arial" w:hAnsi="Arial" w:cs="Arial"/>
          <w:b/>
          <w:sz w:val="20"/>
          <w:szCs w:val="20"/>
        </w:rPr>
        <w:t>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BD5B92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D167E7" w:rsidRPr="00DF23BA">
        <w:rPr>
          <w:rFonts w:ascii="Arial" w:hAnsi="Arial" w:cs="Arial"/>
        </w:rPr>
        <w:t>участник</w:t>
      </w:r>
      <w:proofErr w:type="gramEnd"/>
      <w:r w:rsidR="00D167E7" w:rsidRPr="00DF23BA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 и должен обладать необходимыми профессиональными знаниями и опытом выполнения аналогичных поставок;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</w:t>
      </w:r>
      <w:r w:rsidRPr="0008098F">
        <w:rPr>
          <w:rFonts w:ascii="Arial" w:hAnsi="Arial" w:cs="Arial"/>
        </w:rPr>
        <w:lastRenderedPageBreak/>
        <w:t xml:space="preserve">услуг отдельными видами юридических лиц», либо в Реестр недобросовестных поставщиков, который 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BD5B92">
        <w:rPr>
          <w:rFonts w:ascii="Arial" w:hAnsi="Arial" w:cs="Arial"/>
          <w:b/>
          <w:sz w:val="20"/>
          <w:szCs w:val="20"/>
        </w:rPr>
        <w:t>26</w:t>
      </w:r>
      <w:r w:rsidR="003F61A2">
        <w:rPr>
          <w:rFonts w:ascii="Arial" w:hAnsi="Arial" w:cs="Arial"/>
          <w:b/>
          <w:sz w:val="20"/>
          <w:szCs w:val="20"/>
        </w:rPr>
        <w:t>.04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BD5B92">
        <w:rPr>
          <w:rFonts w:ascii="Arial" w:hAnsi="Arial" w:cs="Arial"/>
          <w:b/>
          <w:sz w:val="20"/>
          <w:szCs w:val="20"/>
        </w:rPr>
        <w:t>28</w:t>
      </w:r>
      <w:r w:rsidR="002C2C1B">
        <w:rPr>
          <w:rFonts w:ascii="Arial" w:hAnsi="Arial" w:cs="Arial"/>
          <w:b/>
          <w:sz w:val="20"/>
          <w:szCs w:val="20"/>
        </w:rPr>
        <w:t>.0</w:t>
      </w:r>
      <w:r w:rsidR="003F61A2">
        <w:rPr>
          <w:rFonts w:ascii="Arial" w:hAnsi="Arial" w:cs="Arial"/>
          <w:b/>
          <w:sz w:val="20"/>
          <w:szCs w:val="20"/>
        </w:rPr>
        <w:t>4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BD5B92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8226AB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61A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D5B92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8226AB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61A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F83FD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F95FEA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EA" w:rsidRDefault="00AC1812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EA" w:rsidRDefault="00F95FEA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EA" w:rsidRDefault="00F95FEA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>
        <w:rPr>
          <w:rFonts w:ascii="Arial" w:hAnsi="Arial" w:cs="Arial"/>
          <w:sz w:val="20"/>
          <w:szCs w:val="20"/>
        </w:rPr>
        <w:t>ка в баллах. По критериям № 1</w:t>
      </w:r>
      <w:r w:rsidR="00802CC8">
        <w:rPr>
          <w:rFonts w:ascii="Arial" w:hAnsi="Arial" w:cs="Arial"/>
          <w:sz w:val="20"/>
          <w:szCs w:val="20"/>
        </w:rPr>
        <w:t xml:space="preserve"> и </w:t>
      </w:r>
      <w:r w:rsidRPr="00BF4FDA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802CC8">
        <w:rPr>
          <w:rFonts w:ascii="Arial" w:hAnsi="Arial" w:cs="Arial"/>
          <w:sz w:val="20"/>
          <w:szCs w:val="20"/>
        </w:rPr>
        <w:t>По критерию № 3 оценка производится в баллах от 0 до 100.</w:t>
      </w:r>
      <w:r w:rsidR="00802CC8" w:rsidRPr="009448A3">
        <w:rPr>
          <w:sz w:val="20"/>
          <w:szCs w:val="20"/>
        </w:rPr>
        <w:t xml:space="preserve">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AC1812" w:rsidRPr="008226AB" w:rsidRDefault="00802CC8" w:rsidP="00802CC8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3.6.3.5. </w:t>
      </w:r>
      <w:r w:rsidRPr="00802CC8">
        <w:rPr>
          <w:rFonts w:ascii="Arial" w:hAnsi="Arial" w:cs="Arial"/>
          <w:sz w:val="20"/>
          <w:szCs w:val="20"/>
        </w:rPr>
        <w:t>О</w:t>
      </w:r>
      <w:r w:rsidR="00AC1812">
        <w:rPr>
          <w:rFonts w:ascii="Arial" w:hAnsi="Arial" w:cs="Arial"/>
          <w:sz w:val="20"/>
          <w:szCs w:val="20"/>
        </w:rPr>
        <w:t xml:space="preserve">ценка по критерию – </w:t>
      </w:r>
      <w:r w:rsidR="00AC1812" w:rsidRPr="008226AB">
        <w:rPr>
          <w:rFonts w:ascii="Arial" w:hAnsi="Arial" w:cs="Arial"/>
          <w:sz w:val="20"/>
          <w:szCs w:val="20"/>
        </w:rPr>
        <w:t>наличие положительных отзывов</w:t>
      </w:r>
      <w:r w:rsidRPr="008226AB">
        <w:rPr>
          <w:rFonts w:ascii="Arial" w:hAnsi="Arial" w:cs="Arial"/>
          <w:sz w:val="20"/>
          <w:szCs w:val="20"/>
        </w:rPr>
        <w:t>.</w:t>
      </w:r>
    </w:p>
    <w:p w:rsidR="00802CC8" w:rsidRPr="008226AB" w:rsidRDefault="00802CC8" w:rsidP="00802CC8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</w:rPr>
      </w:pPr>
      <w:r w:rsidRPr="008226AB">
        <w:rPr>
          <w:rFonts w:ascii="Arial" w:hAnsi="Arial" w:cs="Arial"/>
          <w:sz w:val="20"/>
          <w:szCs w:val="20"/>
        </w:rPr>
        <w:t xml:space="preserve"> Положительны</w:t>
      </w:r>
      <w:r w:rsidR="007C58AD" w:rsidRPr="008226AB">
        <w:rPr>
          <w:rFonts w:ascii="Arial" w:hAnsi="Arial" w:cs="Arial"/>
          <w:sz w:val="20"/>
          <w:szCs w:val="20"/>
        </w:rPr>
        <w:t>е отзывы необходимо пред</w:t>
      </w:r>
      <w:r w:rsidR="00AC1812" w:rsidRPr="008226AB">
        <w:rPr>
          <w:rFonts w:ascii="Arial" w:hAnsi="Arial" w:cs="Arial"/>
          <w:sz w:val="20"/>
          <w:szCs w:val="20"/>
        </w:rPr>
        <w:t>ставить в составе заявки.</w:t>
      </w:r>
    </w:p>
    <w:p w:rsidR="00802CC8" w:rsidRPr="00802CC8" w:rsidRDefault="00802CC8" w:rsidP="00802CC8">
      <w:pPr>
        <w:widowControl w:val="0"/>
        <w:shd w:val="clear" w:color="auto" w:fill="FFFFFF"/>
        <w:tabs>
          <w:tab w:val="left" w:pos="567"/>
        </w:tabs>
        <w:autoSpaceDE w:val="0"/>
        <w:ind w:right="4"/>
        <w:rPr>
          <w:rFonts w:ascii="Arial" w:hAnsi="Arial" w:cs="Arial"/>
          <w:sz w:val="20"/>
          <w:szCs w:val="20"/>
        </w:rPr>
      </w:pPr>
      <w:r w:rsidRPr="00802CC8">
        <w:rPr>
          <w:rFonts w:ascii="Arial" w:hAnsi="Arial" w:cs="Arial"/>
          <w:sz w:val="20"/>
          <w:szCs w:val="20"/>
        </w:rPr>
        <w:t>Если Участник не представил благодарственные письма, положительные отзывы, такой Заявке по указанному критерию будет присвоена оценка «0 баллов».</w:t>
      </w:r>
    </w:p>
    <w:tbl>
      <w:tblPr>
        <w:tblW w:w="9347" w:type="dxa"/>
        <w:jc w:val="center"/>
        <w:tblInd w:w="-1150" w:type="dxa"/>
        <w:tblLayout w:type="fixed"/>
        <w:tblLook w:val="00A0"/>
      </w:tblPr>
      <w:tblGrid>
        <w:gridCol w:w="701"/>
        <w:gridCol w:w="6945"/>
        <w:gridCol w:w="1701"/>
      </w:tblGrid>
      <w:tr w:rsidR="00802CC8" w:rsidRPr="00802CC8" w:rsidTr="00802CC8">
        <w:trPr>
          <w:trHeight w:val="379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AC1812" w:rsidP="00AC181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802CC8" w:rsidRPr="00802CC8" w:rsidTr="00802CC8">
        <w:trPr>
          <w:trHeight w:val="345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02CC8" w:rsidRPr="00115BBC" w:rsidRDefault="00802CC8" w:rsidP="00AC1812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AC1812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="00115BBC" w:rsidRPr="00115BBC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lastRenderedPageBreak/>
        <w:t xml:space="preserve">Итоговый рейтинг каждого участника рассчитывается по формуле: </w:t>
      </w:r>
    </w:p>
    <w:p w:rsidR="00925591" w:rsidRPr="009448A3" w:rsidRDefault="00925591" w:rsidP="00925591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="00115BBC" w:rsidRPr="00E546FB">
        <w:rPr>
          <w:rFonts w:ascii="Arial" w:hAnsi="Arial" w:cs="Arial"/>
          <w:sz w:val="20"/>
          <w:szCs w:val="20"/>
        </w:rPr>
        <w:t xml:space="preserve"> +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Pr="00925591">
        <w:rPr>
          <w:b/>
          <w:sz w:val="20"/>
          <w:szCs w:val="20"/>
        </w:rPr>
        <w:t xml:space="preserve"> </w:t>
      </w:r>
      <w:proofErr w:type="gramStart"/>
      <w:r w:rsidRPr="00925591">
        <w:rPr>
          <w:rFonts w:ascii="Arial" w:hAnsi="Arial" w:cs="Arial"/>
          <w:b/>
          <w:sz w:val="20"/>
          <w:szCs w:val="20"/>
        </w:rPr>
        <w:t>+</w:t>
      </w:r>
      <w:r w:rsidRPr="00925591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proofErr w:type="gramEnd"/>
      <w:r w:rsidRPr="00925591">
        <w:rPr>
          <w:rFonts w:ascii="Arial" w:hAnsi="Arial" w:cs="Arial"/>
          <w:b/>
          <w:sz w:val="20"/>
          <w:szCs w:val="20"/>
          <w:lang w:val="en-US"/>
        </w:rPr>
        <w:t>Rf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25591">
        <w:rPr>
          <w:rFonts w:ascii="Arial" w:hAnsi="Arial" w:cs="Arial"/>
          <w:b/>
          <w:sz w:val="20"/>
          <w:szCs w:val="20"/>
        </w:rPr>
        <w:t>*</w:t>
      </w:r>
      <w:r w:rsidRPr="00925591">
        <w:rPr>
          <w:rFonts w:ascii="Arial" w:hAnsi="Arial" w:cs="Arial"/>
          <w:b/>
          <w:sz w:val="20"/>
          <w:szCs w:val="20"/>
          <w:lang w:val="en-US"/>
        </w:rPr>
        <w:t>V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r w:rsidRPr="00925591">
        <w:rPr>
          <w:rFonts w:ascii="Arial" w:hAnsi="Arial" w:cs="Arial"/>
          <w:b/>
          <w:sz w:val="20"/>
          <w:szCs w:val="20"/>
        </w:rPr>
        <w:t>)</w:t>
      </w:r>
    </w:p>
    <w:p w:rsidR="00115BBC" w:rsidRPr="00E546FB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802CC8" w:rsidRDefault="00802CC8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f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115BBC">
        <w:rPr>
          <w:rFonts w:ascii="Arial" w:eastAsia="Calibri" w:hAnsi="Arial" w:cs="Arial"/>
          <w:sz w:val="20"/>
          <w:szCs w:val="20"/>
        </w:rPr>
        <w:t xml:space="preserve">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="008226AB">
        <w:rPr>
          <w:rFonts w:ascii="Arial" w:eastAsia="Calibri" w:hAnsi="Arial" w:cs="Arial"/>
          <w:b/>
          <w:sz w:val="20"/>
          <w:szCs w:val="20"/>
        </w:rPr>
        <w:t>«Наличие положительных отзывов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623E7E" w:rsidRDefault="00623E7E" w:rsidP="00623E7E">
      <w:pPr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="008226AB">
        <w:rPr>
          <w:rFonts w:ascii="Arial" w:eastAsia="Calibri" w:hAnsi="Arial" w:cs="Arial"/>
          <w:b/>
          <w:sz w:val="20"/>
          <w:szCs w:val="20"/>
        </w:rPr>
        <w:t>«Наличие положительных отзывов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623E7E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>С.В. Шмырёв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BD5B92">
        <w:rPr>
          <w:rFonts w:ascii="Arial" w:hAnsi="Arial" w:cs="Arial"/>
          <w:b/>
          <w:sz w:val="20"/>
          <w:szCs w:val="20"/>
        </w:rPr>
        <w:t>41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BD5B92">
        <w:rPr>
          <w:rFonts w:ascii="Arial" w:hAnsi="Arial" w:cs="Arial"/>
          <w:b/>
          <w:sz w:val="20"/>
          <w:szCs w:val="20"/>
        </w:rPr>
        <w:t>22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3F61A2">
        <w:rPr>
          <w:rFonts w:ascii="Arial" w:hAnsi="Arial" w:cs="Arial"/>
          <w:b/>
          <w:sz w:val="20"/>
          <w:szCs w:val="20"/>
        </w:rPr>
        <w:t>04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925591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Default="00925591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397C30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97C3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06322D" w:rsidRPr="002A0EDC" w:rsidRDefault="0006322D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6322D" w:rsidRDefault="0006322D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397C30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06322D" w:rsidRPr="002A0EDC" w:rsidRDefault="0006322D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06322D" w:rsidRDefault="0006322D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397C30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397C30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06322D" w:rsidRPr="002A0EDC" w:rsidRDefault="0006322D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6322D" w:rsidRPr="002A0EDC" w:rsidRDefault="0006322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6322D" w:rsidRPr="00301BEC" w:rsidRDefault="0006322D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322D" w:rsidRDefault="0006322D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397C30" w:rsidP="00886D66">
      <w:pPr>
        <w:rPr>
          <w:rFonts w:ascii="Arial" w:hAnsi="Arial" w:cs="Arial"/>
          <w:sz w:val="20"/>
          <w:szCs w:val="20"/>
        </w:rPr>
      </w:pPr>
      <w:r w:rsidRPr="00397C30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06322D" w:rsidRPr="003F7D6C" w:rsidRDefault="0006322D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06322D" w:rsidRPr="003F7D6C" w:rsidRDefault="0006322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6322D" w:rsidRPr="003F7D6C" w:rsidRDefault="0006322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6322D" w:rsidRPr="003F7D6C" w:rsidRDefault="0006322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6322D" w:rsidRPr="003F7D6C" w:rsidRDefault="0006322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6322D" w:rsidRPr="003F7D6C" w:rsidRDefault="0006322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6322D" w:rsidRPr="003F7D6C" w:rsidRDefault="0006322D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6322D" w:rsidRPr="003F7D6C" w:rsidRDefault="0006322D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6322D" w:rsidRPr="003F7D6C" w:rsidRDefault="0006322D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6322D" w:rsidRDefault="0006322D"/>
                <w:p w:rsidR="0006322D" w:rsidRDefault="0006322D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подряда на выполнение работ</w:t>
      </w:r>
    </w:p>
    <w:p w:rsidR="009C5816" w:rsidRPr="00A31C3C" w:rsidRDefault="009C5816" w:rsidP="009C5816">
      <w:pPr>
        <w:pStyle w:val="af7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A31C3C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1C3C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A31C3C">
        <w:rPr>
          <w:rFonts w:ascii="Arial" w:hAnsi="Arial" w:cs="Arial"/>
          <w:b/>
          <w:sz w:val="20"/>
          <w:szCs w:val="20"/>
        </w:rPr>
        <w:t>Устава</w:t>
      </w:r>
      <w:r w:rsidRPr="00A31C3C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A31C3C">
        <w:rPr>
          <w:rFonts w:ascii="Arial" w:hAnsi="Arial" w:cs="Arial"/>
          <w:sz w:val="20"/>
          <w:szCs w:val="20"/>
        </w:rPr>
        <w:t>именуемое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</w:t>
      </w:r>
      <w:r w:rsidR="00BD5B92">
        <w:rPr>
          <w:rFonts w:ascii="Arial" w:hAnsi="Arial" w:cs="Arial"/>
          <w:sz w:val="20"/>
          <w:szCs w:val="20"/>
        </w:rPr>
        <w:t>ткрытого запроса предложений №41 ОЗП-ПГЭС от 2</w:t>
      </w:r>
      <w:r w:rsidR="003F61A2">
        <w:rPr>
          <w:rFonts w:ascii="Arial" w:hAnsi="Arial" w:cs="Arial"/>
          <w:sz w:val="20"/>
          <w:szCs w:val="20"/>
        </w:rPr>
        <w:t>2.04</w:t>
      </w:r>
      <w:r w:rsidRPr="00A31C3C">
        <w:rPr>
          <w:rFonts w:ascii="Arial" w:hAnsi="Arial" w:cs="Arial"/>
          <w:sz w:val="20"/>
          <w:szCs w:val="20"/>
        </w:rPr>
        <w:t xml:space="preserve">.21г.  Протокол № _______ </w:t>
      </w:r>
      <w:r w:rsidRPr="00A31C3C">
        <w:rPr>
          <w:rFonts w:ascii="Arial" w:hAnsi="Arial" w:cs="Arial"/>
          <w:sz w:val="20"/>
          <w:szCs w:val="20"/>
          <w:u w:val="single"/>
        </w:rPr>
        <w:t>ОЗП-ПГЭС</w:t>
      </w:r>
      <w:r w:rsidRPr="00A31C3C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 ПРЕДМЕТ ДОГОВОРА</w:t>
      </w:r>
    </w:p>
    <w:p w:rsidR="00925591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1.1. Заказчик поручает, а Подря</w:t>
      </w:r>
      <w:r w:rsidR="00BD5B92">
        <w:rPr>
          <w:rFonts w:ascii="Arial" w:hAnsi="Arial" w:cs="Arial"/>
          <w:sz w:val="20"/>
          <w:szCs w:val="20"/>
        </w:rPr>
        <w:t>дчик обязуется выполнить поставку и установку дверных блоков</w:t>
      </w:r>
      <w:r w:rsidR="00925591" w:rsidRPr="00925591">
        <w:rPr>
          <w:rFonts w:ascii="Arial" w:hAnsi="Arial" w:cs="Arial"/>
          <w:sz w:val="20"/>
          <w:szCs w:val="20"/>
        </w:rPr>
        <w:t xml:space="preserve"> в административном здании литер</w:t>
      </w:r>
      <w:proofErr w:type="gramStart"/>
      <w:r w:rsidR="00925591" w:rsidRPr="00925591">
        <w:rPr>
          <w:rFonts w:ascii="Arial" w:hAnsi="Arial" w:cs="Arial"/>
          <w:sz w:val="20"/>
          <w:szCs w:val="20"/>
        </w:rPr>
        <w:t xml:space="preserve"> В</w:t>
      </w:r>
      <w:proofErr w:type="gramEnd"/>
      <w:r w:rsidR="00925591" w:rsidRPr="00925591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925591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1.2. Заказчик обязуется оплатить Подрядчику работы, указанные в п.1.1.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Выполнение работ осущест</w:t>
      </w:r>
      <w:r w:rsidR="00BD5B92">
        <w:rPr>
          <w:rFonts w:ascii="Arial" w:hAnsi="Arial" w:cs="Arial"/>
          <w:sz w:val="20"/>
          <w:szCs w:val="20"/>
        </w:rPr>
        <w:t>вляется на основании сметы</w:t>
      </w:r>
      <w:r w:rsidRPr="00A31C3C">
        <w:rPr>
          <w:rFonts w:ascii="Arial" w:hAnsi="Arial" w:cs="Arial"/>
          <w:sz w:val="20"/>
          <w:szCs w:val="20"/>
        </w:rPr>
        <w:t>, определяющей объем, содержание работ, а также их цену.</w:t>
      </w:r>
    </w:p>
    <w:p w:rsidR="009C5816" w:rsidRPr="00A31C3C" w:rsidRDefault="00BD5B92" w:rsidP="009C581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</w:t>
      </w:r>
      <w:r w:rsidR="009C5816" w:rsidRPr="00A31C3C">
        <w:rPr>
          <w:rFonts w:ascii="Arial" w:hAnsi="Arial" w:cs="Arial"/>
          <w:sz w:val="20"/>
          <w:szCs w:val="20"/>
        </w:rPr>
        <w:t xml:space="preserve"> является неотъемлемым приложением</w:t>
      </w:r>
      <w:r>
        <w:rPr>
          <w:rFonts w:ascii="Arial" w:hAnsi="Arial" w:cs="Arial"/>
          <w:sz w:val="20"/>
          <w:szCs w:val="20"/>
        </w:rPr>
        <w:t xml:space="preserve"> к данному договору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Смета</w:t>
      </w:r>
      <w:r w:rsidR="009C5816" w:rsidRPr="00A31C3C">
        <w:rPr>
          <w:rFonts w:ascii="Arial" w:hAnsi="Arial" w:cs="Arial"/>
          <w:sz w:val="20"/>
          <w:szCs w:val="20"/>
        </w:rPr>
        <w:t xml:space="preserve"> составляется Подрядчиком, утверждается Заказчиком.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Заказчик вправе</w:t>
      </w:r>
      <w:r w:rsidR="00BD5B92">
        <w:rPr>
          <w:rFonts w:ascii="Arial" w:hAnsi="Arial" w:cs="Arial"/>
          <w:sz w:val="20"/>
          <w:szCs w:val="20"/>
        </w:rPr>
        <w:t xml:space="preserve"> вносить изменения в смету</w:t>
      </w:r>
      <w:r w:rsidRPr="00A31C3C">
        <w:rPr>
          <w:rFonts w:ascii="Arial" w:hAnsi="Arial" w:cs="Arial"/>
          <w:sz w:val="20"/>
          <w:szCs w:val="20"/>
        </w:rPr>
        <w:t xml:space="preserve"> при условии, если выполняемые работы и подлежащие оплате дополнительные работы по стои</w:t>
      </w:r>
      <w:r w:rsidR="00BD5B92">
        <w:rPr>
          <w:rFonts w:ascii="Arial" w:hAnsi="Arial" w:cs="Arial"/>
          <w:sz w:val="20"/>
          <w:szCs w:val="20"/>
        </w:rPr>
        <w:t>мости не превышают указанной в смете</w:t>
      </w:r>
      <w:r w:rsidRPr="00A31C3C">
        <w:rPr>
          <w:rFonts w:ascii="Arial" w:hAnsi="Arial" w:cs="Arial"/>
          <w:sz w:val="20"/>
          <w:szCs w:val="20"/>
        </w:rPr>
        <w:t xml:space="preserve"> общей стоимости работ и не меняют их х</w:t>
      </w:r>
      <w:r w:rsidR="00BD5B92">
        <w:rPr>
          <w:rFonts w:ascii="Arial" w:hAnsi="Arial" w:cs="Arial"/>
          <w:sz w:val="20"/>
          <w:szCs w:val="20"/>
        </w:rPr>
        <w:t>арактера. Внесение в смету</w:t>
      </w:r>
      <w:r w:rsidRPr="00A31C3C">
        <w:rPr>
          <w:rFonts w:ascii="Arial" w:hAnsi="Arial" w:cs="Arial"/>
          <w:sz w:val="20"/>
          <w:szCs w:val="20"/>
        </w:rPr>
        <w:t xml:space="preserve"> изменений, увеличивающих объем работ и их стоимость, осуществляется на основе дополните</w:t>
      </w:r>
      <w:r w:rsidR="00BD5B92">
        <w:rPr>
          <w:rFonts w:ascii="Arial" w:hAnsi="Arial" w:cs="Arial"/>
          <w:sz w:val="20"/>
          <w:szCs w:val="20"/>
        </w:rPr>
        <w:t>льных согласований и смет</w:t>
      </w:r>
      <w:r w:rsidRPr="00A31C3C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Подрядчик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</w:t>
      </w:r>
      <w:r w:rsidR="00BD5B92">
        <w:rPr>
          <w:rFonts w:ascii="Arial" w:hAnsi="Arial" w:cs="Arial"/>
          <w:sz w:val="20"/>
          <w:szCs w:val="20"/>
        </w:rPr>
        <w:t>смете</w:t>
      </w:r>
      <w:r w:rsidRPr="00A31C3C">
        <w:rPr>
          <w:rFonts w:ascii="Arial" w:hAnsi="Arial" w:cs="Arial"/>
          <w:sz w:val="20"/>
          <w:szCs w:val="20"/>
        </w:rPr>
        <w:t xml:space="preserve"> работы, и в связи с этим необходимость проведения дополнительных </w:t>
      </w:r>
      <w:r w:rsidR="00BD5B92">
        <w:rPr>
          <w:rFonts w:ascii="Arial" w:hAnsi="Arial" w:cs="Arial"/>
          <w:sz w:val="20"/>
          <w:szCs w:val="20"/>
        </w:rPr>
        <w:t>работ, не учтенных в смете</w:t>
      </w:r>
      <w:r w:rsidRPr="00A31C3C">
        <w:rPr>
          <w:rFonts w:ascii="Arial" w:hAnsi="Arial" w:cs="Arial"/>
          <w:sz w:val="20"/>
          <w:szCs w:val="20"/>
        </w:rPr>
        <w:t xml:space="preserve">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Подрядчик не вправе самостоятельно осуществлять без согласия Заказчика не предусмотренные </w:t>
      </w:r>
      <w:r w:rsidR="00BD5B92">
        <w:rPr>
          <w:rFonts w:ascii="Arial" w:hAnsi="Arial" w:cs="Arial"/>
          <w:sz w:val="20"/>
          <w:szCs w:val="20"/>
        </w:rPr>
        <w:t xml:space="preserve">сметой </w:t>
      </w:r>
      <w:r w:rsidRPr="00A31C3C">
        <w:rPr>
          <w:rFonts w:ascii="Arial" w:hAnsi="Arial" w:cs="Arial"/>
          <w:sz w:val="20"/>
          <w:szCs w:val="20"/>
        </w:rPr>
        <w:t>работы и требовать их оплаты.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1.3. Выполнение работ предусматривает:</w:t>
      </w:r>
    </w:p>
    <w:p w:rsidR="009C5816" w:rsidRPr="00A31C3C" w:rsidRDefault="009C5816" w:rsidP="009C5816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04DDF">
        <w:rPr>
          <w:rFonts w:ascii="Arial" w:hAnsi="Arial" w:cs="Arial"/>
          <w:sz w:val="20"/>
          <w:szCs w:val="20"/>
        </w:rPr>
        <w:t>_______________________</w:t>
      </w:r>
      <w:r w:rsidRPr="00A31C3C">
        <w:rPr>
          <w:rFonts w:ascii="Arial" w:hAnsi="Arial" w:cs="Arial"/>
          <w:sz w:val="20"/>
          <w:szCs w:val="20"/>
        </w:rPr>
        <w:t>;</w:t>
      </w:r>
    </w:p>
    <w:p w:rsidR="009C5816" w:rsidRPr="00A31C3C" w:rsidRDefault="009C5816" w:rsidP="009C5816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A31C3C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руб._________ коп., </w:t>
      </w:r>
      <w:r w:rsidRPr="00A31C3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9C5816" w:rsidRPr="00A31C3C" w:rsidRDefault="009C5816" w:rsidP="009C5816">
      <w:pPr>
        <w:jc w:val="both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>руб._________ коп.</w:t>
      </w:r>
      <w:r w:rsidRPr="00A31C3C">
        <w:rPr>
          <w:rFonts w:ascii="Arial" w:hAnsi="Arial" w:cs="Arial"/>
          <w:b/>
          <w:sz w:val="20"/>
          <w:szCs w:val="20"/>
        </w:rPr>
        <w:t xml:space="preserve">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Default="009C5816" w:rsidP="0006322D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31C3C">
        <w:rPr>
          <w:rFonts w:ascii="Arial" w:hAnsi="Arial" w:cs="Arial"/>
          <w:sz w:val="20"/>
          <w:szCs w:val="20"/>
        </w:rPr>
        <w:t xml:space="preserve"> 2.2. </w:t>
      </w:r>
      <w:r w:rsidR="0006322D" w:rsidRPr="0006322D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календарных дней после заключения договора. Оставшиеся 50% перечисляются на счет Поставщика не позднее 10 (десяти) календарных дней после поставки, установки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06322D" w:rsidRPr="0006322D" w:rsidRDefault="0006322D" w:rsidP="0006322D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  СРОКИ ВЫПОЛНЕНИЯ РАБОТ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3.2. Срок </w:t>
      </w:r>
      <w:r w:rsidR="0006322D">
        <w:rPr>
          <w:rFonts w:ascii="Arial" w:hAnsi="Arial" w:cs="Arial"/>
          <w:sz w:val="20"/>
          <w:szCs w:val="20"/>
        </w:rPr>
        <w:t xml:space="preserve">поставки и </w:t>
      </w:r>
      <w:r w:rsidRPr="00A31C3C">
        <w:rPr>
          <w:rFonts w:ascii="Arial" w:hAnsi="Arial" w:cs="Arial"/>
          <w:sz w:val="20"/>
          <w:szCs w:val="20"/>
        </w:rPr>
        <w:t>выполнения работ</w:t>
      </w:r>
      <w:r w:rsidR="0006322D">
        <w:rPr>
          <w:rFonts w:ascii="Arial" w:hAnsi="Arial" w:cs="Arial"/>
          <w:sz w:val="20"/>
          <w:szCs w:val="20"/>
        </w:rPr>
        <w:t>: в течение 60 (Шестидесяти</w:t>
      </w:r>
      <w:r w:rsidRPr="00A31C3C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A31C3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lastRenderedPageBreak/>
        <w:t>3.3. Подрядчик имеет право сдать работы досрочно по соглашению с Заказчиком.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ПОДРЯДЧИК: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A31C3C">
        <w:rPr>
          <w:rFonts w:ascii="Arial" w:hAnsi="Arial" w:cs="Arial"/>
          <w:sz w:val="20"/>
          <w:szCs w:val="20"/>
        </w:rPr>
        <w:t>СНиП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ЗАКАЗЧИК: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A31C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5.  ОТВЕТСТВЕННОСТЬ СТОРОН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A31C3C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A31C3C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места проведения работ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A31C3C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31C3C">
        <w:rPr>
          <w:rFonts w:ascii="Arial" w:hAnsi="Arial" w:cs="Arial"/>
          <w:sz w:val="20"/>
          <w:szCs w:val="20"/>
        </w:rPr>
        <w:t>но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A31C3C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</w:t>
      </w:r>
      <w:r w:rsidRPr="00A31C3C">
        <w:rPr>
          <w:rFonts w:ascii="Arial" w:hAnsi="Arial" w:cs="Arial"/>
          <w:sz w:val="20"/>
          <w:szCs w:val="20"/>
        </w:rPr>
        <w:lastRenderedPageBreak/>
        <w:t>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9C5816" w:rsidRPr="00A31C3C" w:rsidRDefault="009C5816" w:rsidP="009C5816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  ПОРЯДОК РАЗРЕШЕНИЯ СПОРОВ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  ПРОЧИЕ УСЛОВИЯ</w:t>
      </w: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9C5816" w:rsidRPr="00A31C3C" w:rsidRDefault="003D7354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C5816" w:rsidRPr="00A31C3C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D75ACA" w:rsidRPr="00A31C3C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A31C3C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A31C3C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A31C3C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A31C3C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1C3C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A31C3C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Pr="0006322D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Pr="0006322D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06322D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06322D">
        <w:rPr>
          <w:rFonts w:ascii="Arial" w:hAnsi="Arial" w:cs="Arial"/>
          <w:b/>
          <w:sz w:val="20"/>
        </w:rPr>
        <w:t>Приложение №2</w:t>
      </w:r>
    </w:p>
    <w:p w:rsidR="0006322D" w:rsidRPr="0006322D" w:rsidRDefault="0006322D" w:rsidP="0006322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6322D">
        <w:rPr>
          <w:rFonts w:ascii="Arial" w:hAnsi="Arial" w:cs="Arial"/>
          <w:b/>
          <w:sz w:val="20"/>
          <w:szCs w:val="20"/>
        </w:rPr>
        <w:t>Техническое задание на изготовление и установку дверных блоков в административном здании литера</w:t>
      </w:r>
      <w:proofErr w:type="gramStart"/>
      <w:r w:rsidRPr="0006322D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06322D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06322D" w:rsidRPr="0006322D" w:rsidRDefault="0006322D" w:rsidP="0006322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6322D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06322D">
        <w:rPr>
          <w:rFonts w:ascii="Arial" w:hAnsi="Arial" w:cs="Arial"/>
          <w:b/>
          <w:sz w:val="20"/>
          <w:szCs w:val="20"/>
        </w:rPr>
        <w:t>.П</w:t>
      </w:r>
      <w:proofErr w:type="gramEnd"/>
      <w:r w:rsidRPr="0006322D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06322D" w:rsidRPr="0006322D" w:rsidRDefault="0006322D" w:rsidP="0006322D">
      <w:pPr>
        <w:jc w:val="center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  <w:u w:val="single"/>
        </w:rPr>
        <w:t xml:space="preserve">Срок поставки продукции и выполнения всех работ: </w:t>
      </w:r>
      <w:r w:rsidRPr="0006322D">
        <w:rPr>
          <w:rFonts w:ascii="Arial" w:hAnsi="Arial" w:cs="Arial"/>
          <w:b/>
          <w:sz w:val="20"/>
          <w:szCs w:val="20"/>
          <w:u w:val="single"/>
        </w:rPr>
        <w:t xml:space="preserve">60 (шестьдесят) </w:t>
      </w:r>
      <w:r w:rsidRPr="0006322D">
        <w:rPr>
          <w:rFonts w:ascii="Arial" w:hAnsi="Arial" w:cs="Arial"/>
          <w:sz w:val="20"/>
          <w:szCs w:val="20"/>
        </w:rPr>
        <w:t>календарных дней, с момента подписания договора.</w:t>
      </w:r>
    </w:p>
    <w:p w:rsidR="0006322D" w:rsidRPr="0006322D" w:rsidRDefault="0006322D" w:rsidP="0006322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  <w:u w:val="single"/>
        </w:rPr>
        <w:t>Срок гарантии на выполненные работы</w:t>
      </w:r>
      <w:r w:rsidRPr="0006322D">
        <w:rPr>
          <w:rFonts w:ascii="Arial" w:hAnsi="Arial" w:cs="Arial"/>
          <w:sz w:val="20"/>
          <w:szCs w:val="20"/>
        </w:rPr>
        <w:t xml:space="preserve">: Гарантийный срок нормальной эксплуатации изделий, материалов и работ устанавливается </w:t>
      </w:r>
      <w:r w:rsidRPr="0006322D">
        <w:rPr>
          <w:rFonts w:ascii="Arial" w:hAnsi="Arial" w:cs="Arial"/>
          <w:b/>
          <w:sz w:val="20"/>
          <w:szCs w:val="20"/>
        </w:rPr>
        <w:t>2 года</w:t>
      </w:r>
      <w:r w:rsidRPr="0006322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6322D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06322D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06322D" w:rsidRPr="0006322D" w:rsidRDefault="0006322D" w:rsidP="0006322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06322D">
        <w:rPr>
          <w:rFonts w:ascii="Arial" w:hAnsi="Arial" w:cs="Arial"/>
          <w:sz w:val="20"/>
          <w:szCs w:val="20"/>
        </w:rPr>
        <w:t xml:space="preserve">: </w:t>
      </w:r>
    </w:p>
    <w:p w:rsidR="0006322D" w:rsidRPr="0006322D" w:rsidRDefault="0006322D" w:rsidP="0006322D">
      <w:pPr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Участник запроса предложений в случае признания его победителем должен:</w:t>
      </w:r>
    </w:p>
    <w:p w:rsidR="0006322D" w:rsidRPr="0006322D" w:rsidRDefault="0006322D" w:rsidP="0006322D">
      <w:pPr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- выполнить полную поставку изделий,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06322D" w:rsidRPr="0006322D" w:rsidRDefault="0006322D" w:rsidP="0006322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06322D" w:rsidRPr="0006322D" w:rsidRDefault="0006322D" w:rsidP="0006322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-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06322D" w:rsidRPr="0006322D" w:rsidRDefault="0006322D" w:rsidP="0006322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Поставщиком своих обязанностей по настоящему Договору в отношении персонала Поставщика.</w:t>
      </w:r>
    </w:p>
    <w:p w:rsidR="0006322D" w:rsidRPr="0006322D" w:rsidRDefault="0006322D" w:rsidP="0006322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  <w:u w:val="single"/>
        </w:rPr>
        <w:t xml:space="preserve"> Поставка изделий</w:t>
      </w:r>
      <w:r w:rsidRPr="0006322D">
        <w:rPr>
          <w:rFonts w:ascii="Arial" w:hAnsi="Arial" w:cs="Arial"/>
          <w:sz w:val="20"/>
          <w:szCs w:val="20"/>
        </w:rPr>
        <w:t xml:space="preserve">: Поставка, а также монтаж изделий Заказчику, производится Поставщиком на территорию производственной базы ЗАО «Пензенская горэлектросеть», по адресу: </w:t>
      </w:r>
      <w:proofErr w:type="gramStart"/>
      <w:r w:rsidRPr="0006322D">
        <w:rPr>
          <w:rFonts w:ascii="Arial" w:hAnsi="Arial" w:cs="Arial"/>
          <w:sz w:val="20"/>
          <w:szCs w:val="20"/>
        </w:rPr>
        <w:t>г</w:t>
      </w:r>
      <w:proofErr w:type="gramEnd"/>
      <w:r w:rsidRPr="0006322D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06322D" w:rsidRPr="0006322D" w:rsidRDefault="0006322D" w:rsidP="0006322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  <w:u w:val="single"/>
        </w:rPr>
        <w:t>Порядок оплаты</w:t>
      </w:r>
      <w:r w:rsidRPr="0006322D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дней после заключения договора. Оставшиеся 50% перечисляются на счет Поставщика не позднее 10 (десяти) календарных дней после поставки, установки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06322D" w:rsidRPr="0006322D" w:rsidRDefault="0006322D" w:rsidP="000632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jc w:val="both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ind w:left="360"/>
        <w:jc w:val="center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Ведомость закупаемых и монтируемых изделий и материалов:</w:t>
      </w:r>
    </w:p>
    <w:p w:rsidR="0006322D" w:rsidRPr="0006322D" w:rsidRDefault="0006322D" w:rsidP="0006322D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ind w:left="360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 xml:space="preserve">      Поставщик обязуется изготовить по размерам Заказчика, а также доставить и выполнить работы по установке и сдаче, для дальнейшей эксплуатации, следующей продукции:</w:t>
      </w:r>
    </w:p>
    <w:p w:rsidR="0006322D" w:rsidRPr="0006322D" w:rsidRDefault="0006322D" w:rsidP="0006322D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ind w:firstLineChars="257" w:firstLine="51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6322D">
        <w:rPr>
          <w:rFonts w:ascii="Arial" w:hAnsi="Arial" w:cs="Arial"/>
          <w:b/>
          <w:bCs/>
          <w:i/>
          <w:sz w:val="20"/>
          <w:szCs w:val="20"/>
        </w:rPr>
        <w:t>Технические характеристики</w:t>
      </w:r>
      <w:proofErr w:type="gramStart"/>
      <w:r w:rsidRPr="0006322D">
        <w:rPr>
          <w:rFonts w:ascii="Arial" w:hAnsi="Arial" w:cs="Arial"/>
          <w:b/>
          <w:bCs/>
          <w:i/>
          <w:sz w:val="20"/>
          <w:szCs w:val="20"/>
        </w:rPr>
        <w:t xml:space="preserve"> :</w:t>
      </w:r>
      <w:proofErr w:type="gramEnd"/>
    </w:p>
    <w:p w:rsidR="0006322D" w:rsidRPr="0006322D" w:rsidRDefault="0006322D" w:rsidP="0006322D">
      <w:pPr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0632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186"/>
        <w:gridCol w:w="908"/>
        <w:gridCol w:w="990"/>
        <w:gridCol w:w="4666"/>
        <w:gridCol w:w="944"/>
      </w:tblGrid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0" w:type="dxa"/>
          </w:tcPr>
          <w:p w:rsidR="0006322D" w:rsidRPr="0006322D" w:rsidRDefault="0006322D" w:rsidP="0006322D">
            <w:pPr>
              <w:ind w:left="-108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81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изделия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3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Кол-во</w:t>
            </w:r>
          </w:p>
          <w:p w:rsidR="0006322D" w:rsidRPr="0006322D" w:rsidRDefault="0006322D" w:rsidP="0006322D">
            <w:pPr>
              <w:ind w:left="3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Шт.</w:t>
            </w:r>
          </w:p>
        </w:tc>
      </w:tr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0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123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Дверной блок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Дверь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Bonaveri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ПГ Валентия-4 ШБ, Коробочный брус 2070*75*35. Наличник Капля 2150*75*16, Добор, цвет Красное дерево, ручка Раздельная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-01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Мат.ник,Накладка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-КН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.Н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ик. Замок врезной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5300-Р-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Петля АПЕКС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100*70*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Steel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.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Цилиндровый механизм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SM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-60-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Z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Nl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+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0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123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Дверной блок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Дверь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Bonaveri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ПГ Валентия-4 ШБ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.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Коробочный брус 2070*75*35. Наличник Капля 2150*75*16,Добор, цвет Красное дерево, ручка Раздельная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-01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Мат.ник,Накладка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-КН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.Н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ик. Замок врезной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5300-Р-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Петля АПЕКС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100*70*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Steel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Цилиндровый механизм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SM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-60-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Z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Nl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+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123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Дверной блок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Дверь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Bonaveri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ПГ Валентия-4 ШБ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.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Коробочный брус 2070*75*35. Наличник Капля 2150*75*16,Добор, цвет Красное дерево, ручка Раздельная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-01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Мат.ник,Накладка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-КН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.Н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ик. Замок врезной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5300-Р-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Петля АПЕКС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100*70*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Steel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Цилиндровый механизм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SM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-60-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Z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Nl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+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20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123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Дверной блок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Дверь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Bonaveri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ПГ Валентия-4 ШБ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.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Коробочный брус 2070*75*35. Наличник Капля 2150*75*16,Добор, цвет Красное дерево, ручка Раздельная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-01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Мат.ник,Накладка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PAL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-КН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SN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CP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мат</w:t>
            </w:r>
            <w:proofErr w:type="gramStart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>.Н</w:t>
            </w:r>
            <w:proofErr w:type="gramEnd"/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ик. Замок врезной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5300-Р-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, 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Петля АПЕКС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100*70*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B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Steel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NIS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  <w:r w:rsidRPr="0006322D">
              <w:rPr>
                <w:rFonts w:ascii="Arial" w:eastAsia="Arial Unicode MS" w:hAnsi="Arial" w:cs="Arial"/>
                <w:sz w:val="20"/>
                <w:szCs w:val="20"/>
              </w:rPr>
              <w:t xml:space="preserve">Цилиндровый механизм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Apecs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SM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-60-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Z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Nl</w:t>
            </w:r>
            <w:proofErr w:type="spellEnd"/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+</w:t>
            </w:r>
            <w:r w:rsidRPr="0006322D">
              <w:rPr>
                <w:rFonts w:ascii="Arial" w:eastAsia="Arial Unicode MS" w:hAnsi="Arial" w:cs="Arial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322D" w:rsidRPr="0006322D" w:rsidTr="0006322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0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5" w:type="dxa"/>
          </w:tcPr>
          <w:p w:rsidR="0006322D" w:rsidRPr="0006322D" w:rsidRDefault="0006322D" w:rsidP="0006322D">
            <w:pPr>
              <w:ind w:left="123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Дверной блок</w:t>
            </w:r>
          </w:p>
        </w:tc>
        <w:tc>
          <w:tcPr>
            <w:tcW w:w="851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06322D" w:rsidRPr="0006322D" w:rsidRDefault="0006322D" w:rsidP="0006322D">
            <w:pPr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4820" w:type="dxa"/>
          </w:tcPr>
          <w:p w:rsidR="0006322D" w:rsidRPr="0006322D" w:rsidRDefault="0006322D" w:rsidP="0006322D">
            <w:pPr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Дверь металлическая противопожарная, петля приварная 140-20 с подшипником -2шт</w:t>
            </w:r>
            <w:proofErr w:type="gram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Толщина металла 1,2 мм; наличник 60мм, замок противопожарный-1шт., ручка черная на планке, механический цилиндр ключ-ключ 70мм (35/35)- 1 шт. Уплотнитель 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черный 14х12мм. Уплотнитель противопожарный  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ROLF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KUHN</w:t>
            </w:r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kerafix</w:t>
            </w:r>
            <w:proofErr w:type="spellEnd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flexpan</w:t>
            </w:r>
            <w:proofErr w:type="spellEnd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10мм*1мм </w:t>
            </w:r>
            <w:proofErr w:type="spellStart"/>
            <w:r w:rsidRPr="00063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довочик</w:t>
            </w:r>
            <w:proofErr w:type="spellEnd"/>
          </w:p>
        </w:tc>
        <w:tc>
          <w:tcPr>
            <w:tcW w:w="957" w:type="dxa"/>
          </w:tcPr>
          <w:p w:rsidR="0006322D" w:rsidRPr="0006322D" w:rsidRDefault="0006322D" w:rsidP="0006322D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2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6322D" w:rsidRPr="0006322D" w:rsidRDefault="0006322D" w:rsidP="0006322D">
      <w:pPr>
        <w:contextualSpacing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06322D" w:rsidRPr="0006322D" w:rsidRDefault="0006322D" w:rsidP="0006322D">
      <w:pPr>
        <w:jc w:val="center"/>
        <w:rPr>
          <w:rFonts w:ascii="Arial" w:hAnsi="Arial" w:cs="Arial"/>
          <w:b/>
          <w:sz w:val="20"/>
          <w:szCs w:val="20"/>
        </w:rPr>
      </w:pPr>
    </w:p>
    <w:p w:rsidR="0006322D" w:rsidRPr="0006322D" w:rsidRDefault="0006322D" w:rsidP="0006322D">
      <w:pPr>
        <w:jc w:val="center"/>
        <w:rPr>
          <w:rFonts w:ascii="Arial" w:hAnsi="Arial" w:cs="Arial"/>
          <w:b/>
          <w:sz w:val="20"/>
          <w:szCs w:val="20"/>
        </w:rPr>
      </w:pPr>
      <w:r w:rsidRPr="0006322D">
        <w:rPr>
          <w:rFonts w:ascii="Arial" w:hAnsi="Arial" w:cs="Arial"/>
          <w:b/>
          <w:sz w:val="20"/>
          <w:szCs w:val="20"/>
        </w:rPr>
        <w:t>Общие требования к поставляемой продукции:</w:t>
      </w:r>
    </w:p>
    <w:p w:rsidR="0006322D" w:rsidRPr="0006322D" w:rsidRDefault="0006322D" w:rsidP="0006322D">
      <w:pPr>
        <w:jc w:val="center"/>
        <w:rPr>
          <w:rFonts w:ascii="Arial" w:hAnsi="Arial" w:cs="Arial"/>
          <w:b/>
          <w:sz w:val="20"/>
          <w:szCs w:val="20"/>
        </w:rPr>
      </w:pPr>
    </w:p>
    <w:p w:rsidR="0006322D" w:rsidRPr="0006322D" w:rsidRDefault="0006322D" w:rsidP="0006322D">
      <w:pPr>
        <w:ind w:left="426" w:hanging="284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1.   Продукция должна быть выпущена не ранее 2021 года, должна быть новой и ранее неиспользованной, без   каких-  либо ограничений (залог, запрет, арест и т.п.). Не допускается поставка выставочных и/или опытных образцов.</w:t>
      </w:r>
    </w:p>
    <w:p w:rsidR="0006322D" w:rsidRPr="0006322D" w:rsidRDefault="0006322D" w:rsidP="0006322D">
      <w:pPr>
        <w:ind w:left="426" w:hanging="284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2.   Технические характеристики изделий должны соответствовать всем параметрам, приведенным в таблице.</w:t>
      </w:r>
    </w:p>
    <w:p w:rsidR="0006322D" w:rsidRPr="0006322D" w:rsidRDefault="0006322D" w:rsidP="0006322D">
      <w:pPr>
        <w:ind w:left="426" w:hanging="284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3.   Конструкция должна позволять выполнять все мероприятия по текущему обслуживанию персоналом, с минимальными трудозатратами;</w:t>
      </w:r>
    </w:p>
    <w:p w:rsidR="0006322D" w:rsidRPr="0006322D" w:rsidRDefault="0006322D" w:rsidP="0006322D">
      <w:pPr>
        <w:ind w:left="426" w:hanging="284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4.   Краткое обучение персонала Заказчика основным вопросам, связанным с эксплуатацией и  обслуживанием  установленных изделий;</w:t>
      </w:r>
    </w:p>
    <w:p w:rsidR="0006322D" w:rsidRPr="0006322D" w:rsidRDefault="0006322D" w:rsidP="0006322D">
      <w:pPr>
        <w:ind w:left="426" w:hanging="284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>5.  Все необходимые руководства и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06322D" w:rsidRPr="0006322D" w:rsidRDefault="0006322D" w:rsidP="0006322D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ind w:left="360"/>
        <w:rPr>
          <w:rFonts w:ascii="Arial" w:hAnsi="Arial" w:cs="Arial"/>
          <w:b/>
          <w:sz w:val="20"/>
          <w:szCs w:val="20"/>
        </w:rPr>
      </w:pPr>
    </w:p>
    <w:p w:rsidR="0006322D" w:rsidRPr="0006322D" w:rsidRDefault="0006322D" w:rsidP="0006322D">
      <w:pPr>
        <w:ind w:left="360"/>
        <w:rPr>
          <w:rFonts w:ascii="Arial" w:hAnsi="Arial" w:cs="Arial"/>
          <w:b/>
          <w:sz w:val="20"/>
          <w:szCs w:val="20"/>
        </w:rPr>
      </w:pPr>
    </w:p>
    <w:p w:rsidR="0006322D" w:rsidRPr="0006322D" w:rsidRDefault="0006322D" w:rsidP="0006322D">
      <w:pPr>
        <w:ind w:left="360"/>
        <w:rPr>
          <w:rFonts w:ascii="Arial" w:hAnsi="Arial" w:cs="Arial"/>
          <w:b/>
          <w:sz w:val="20"/>
          <w:szCs w:val="20"/>
        </w:rPr>
      </w:pPr>
      <w:r w:rsidRPr="0006322D">
        <w:rPr>
          <w:rFonts w:ascii="Arial" w:hAnsi="Arial" w:cs="Arial"/>
          <w:b/>
          <w:sz w:val="20"/>
          <w:szCs w:val="20"/>
        </w:rPr>
        <w:t>ГАРАНТИЙНЫЕ ОБЯЗАТЕЛЬСТВА</w:t>
      </w:r>
    </w:p>
    <w:p w:rsidR="0006322D" w:rsidRPr="0006322D" w:rsidRDefault="0006322D" w:rsidP="0006322D">
      <w:pPr>
        <w:rPr>
          <w:rFonts w:ascii="Arial" w:hAnsi="Arial" w:cs="Arial"/>
          <w:sz w:val="20"/>
          <w:szCs w:val="20"/>
        </w:rPr>
      </w:pPr>
    </w:p>
    <w:p w:rsidR="0006322D" w:rsidRPr="0006322D" w:rsidRDefault="0006322D" w:rsidP="0006322D">
      <w:pPr>
        <w:jc w:val="both"/>
        <w:rPr>
          <w:rFonts w:ascii="Arial" w:hAnsi="Arial" w:cs="Arial"/>
          <w:sz w:val="20"/>
          <w:szCs w:val="20"/>
        </w:rPr>
      </w:pPr>
      <w:r w:rsidRPr="0006322D">
        <w:rPr>
          <w:rFonts w:ascii="Arial" w:hAnsi="Arial" w:cs="Arial"/>
          <w:sz w:val="20"/>
          <w:szCs w:val="20"/>
        </w:rPr>
        <w:t xml:space="preserve">      Гарантийный срок эксплуатации: 24 месяца, с момента подписания актов приема-передачи.</w:t>
      </w:r>
    </w:p>
    <w:p w:rsidR="00F104CA" w:rsidRPr="0006322D" w:rsidRDefault="00F104CA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0404D" w:rsidRPr="0006322D" w:rsidRDefault="00A0404D" w:rsidP="00A0404D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06322D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0404D" w:rsidRPr="0006322D" w:rsidRDefault="00A0404D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R="00A0404D" w:rsidRPr="0006322D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2D" w:rsidRDefault="0006322D">
      <w:r>
        <w:separator/>
      </w:r>
    </w:p>
  </w:endnote>
  <w:endnote w:type="continuationSeparator" w:id="0">
    <w:p w:rsidR="0006322D" w:rsidRDefault="0006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2D" w:rsidRDefault="0006322D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2D" w:rsidRDefault="0006322D">
      <w:r>
        <w:separator/>
      </w:r>
    </w:p>
  </w:footnote>
  <w:footnote w:type="continuationSeparator" w:id="0">
    <w:p w:rsidR="0006322D" w:rsidRDefault="0006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2D" w:rsidRDefault="0006322D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2D" w:rsidRDefault="0006322D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0"/>
  </w:num>
  <w:num w:numId="15">
    <w:abstractNumId w:val="37"/>
  </w:num>
  <w:num w:numId="16">
    <w:abstractNumId w:val="61"/>
  </w:num>
  <w:num w:numId="17">
    <w:abstractNumId w:val="54"/>
  </w:num>
  <w:num w:numId="18">
    <w:abstractNumId w:val="47"/>
  </w:num>
  <w:num w:numId="19">
    <w:abstractNumId w:val="35"/>
  </w:num>
  <w:num w:numId="20">
    <w:abstractNumId w:val="62"/>
  </w:num>
  <w:num w:numId="21">
    <w:abstractNumId w:val="32"/>
  </w:num>
  <w:num w:numId="22">
    <w:abstractNumId w:val="33"/>
  </w:num>
  <w:num w:numId="23">
    <w:abstractNumId w:val="65"/>
  </w:num>
  <w:num w:numId="24">
    <w:abstractNumId w:val="45"/>
  </w:num>
  <w:num w:numId="25">
    <w:abstractNumId w:val="44"/>
  </w:num>
  <w:num w:numId="26">
    <w:abstractNumId w:val="23"/>
  </w:num>
  <w:num w:numId="27">
    <w:abstractNumId w:val="17"/>
  </w:num>
  <w:num w:numId="28">
    <w:abstractNumId w:val="67"/>
  </w:num>
  <w:num w:numId="29">
    <w:abstractNumId w:val="13"/>
  </w:num>
  <w:num w:numId="30">
    <w:abstractNumId w:val="64"/>
  </w:num>
  <w:num w:numId="31">
    <w:abstractNumId w:val="56"/>
  </w:num>
  <w:num w:numId="32">
    <w:abstractNumId w:val="43"/>
  </w:num>
  <w:num w:numId="33">
    <w:abstractNumId w:val="51"/>
  </w:num>
  <w:num w:numId="34">
    <w:abstractNumId w:val="63"/>
  </w:num>
  <w:num w:numId="35">
    <w:abstractNumId w:val="30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4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6"/>
  </w:num>
  <w:num w:numId="51">
    <w:abstractNumId w:val="52"/>
  </w:num>
  <w:num w:numId="52">
    <w:abstractNumId w:val="28"/>
  </w:num>
  <w:num w:numId="53">
    <w:abstractNumId w:val="58"/>
  </w:num>
  <w:num w:numId="54">
    <w:abstractNumId w:val="27"/>
  </w:num>
  <w:num w:numId="55">
    <w:abstractNumId w:val="40"/>
  </w:num>
  <w:num w:numId="56">
    <w:abstractNumId w:val="22"/>
  </w:num>
  <w:num w:numId="57">
    <w:abstractNumId w:val="59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34"/>
  </w:num>
  <w:num w:numId="64">
    <w:abstractNumId w:val="21"/>
  </w:num>
  <w:num w:numId="65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22D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97C30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208B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213E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5B92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0867"/>
    <w:rsid w:val="00D1520B"/>
    <w:rsid w:val="00D156CC"/>
    <w:rsid w:val="00D167E7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1130-3FF3-4636-8EA8-14E22ADE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8795</Words>
  <Characters>66716</Characters>
  <Application>Microsoft Office Word</Application>
  <DocSecurity>0</DocSecurity>
  <Lines>555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2021-04-22T08:35:00Z</dcterms:created>
  <dcterms:modified xsi:type="dcterms:W3CDTF">2021-04-22T11:00:00Z</dcterms:modified>
</cp:coreProperties>
</file>