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3618C">
        <w:rPr>
          <w:rFonts w:ascii="Arial" w:hAnsi="Arial" w:cs="Arial"/>
          <w:b/>
          <w:bCs/>
          <w:sz w:val="20"/>
          <w:szCs w:val="20"/>
        </w:rPr>
        <w:t>92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3618C">
        <w:rPr>
          <w:rFonts w:ascii="Arial" w:hAnsi="Arial" w:cs="Arial"/>
          <w:b/>
          <w:bCs/>
          <w:sz w:val="20"/>
          <w:szCs w:val="20"/>
        </w:rPr>
        <w:t>09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102420">
        <w:rPr>
          <w:rFonts w:ascii="Arial" w:hAnsi="Arial" w:cs="Arial"/>
          <w:b/>
          <w:bCs/>
          <w:sz w:val="20"/>
          <w:szCs w:val="20"/>
        </w:rPr>
        <w:t>декабря»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F3618C">
        <w:rPr>
          <w:rFonts w:ascii="Arial" w:hAnsi="Arial" w:cs="Arial"/>
          <w:b/>
          <w:i/>
          <w:sz w:val="20"/>
          <w:szCs w:val="20"/>
        </w:rPr>
        <w:t>обуви.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F3618C">
        <w:rPr>
          <w:rFonts w:ascii="Arial" w:hAnsi="Arial" w:cs="Arial"/>
          <w:b/>
          <w:i/>
          <w:sz w:val="20"/>
          <w:szCs w:val="20"/>
        </w:rPr>
        <w:t xml:space="preserve"> обуви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850"/>
        <w:gridCol w:w="1134"/>
        <w:gridCol w:w="709"/>
        <w:gridCol w:w="709"/>
        <w:gridCol w:w="708"/>
        <w:gridCol w:w="709"/>
      </w:tblGrid>
      <w:tr w:rsidR="00F3618C" w:rsidRPr="00E449B0" w:rsidTr="009D16D7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3618C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F361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 20%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срок поставки</w:t>
            </w:r>
          </w:p>
        </w:tc>
      </w:tr>
      <w:tr w:rsidR="00F3618C" w:rsidRPr="00E449B0" w:rsidTr="009D16D7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F361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3618C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  <w:r w:rsidRPr="00F361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F361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3618C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F361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3618C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F361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F3618C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End"/>
            <w:r w:rsidRPr="00F3618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3618C" w:rsidRPr="00E449B0" w:rsidTr="009D16D7">
        <w:tc>
          <w:tcPr>
            <w:tcW w:w="567" w:type="dxa"/>
            <w:shd w:val="clear" w:color="auto" w:fill="auto"/>
            <w:vAlign w:val="center"/>
          </w:tcPr>
          <w:p w:rsidR="00F3618C" w:rsidRPr="00F3618C" w:rsidRDefault="00F3618C" w:rsidP="00F3618C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F3618C" w:rsidRPr="00F3618C" w:rsidRDefault="00F3618C" w:rsidP="009D16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 xml:space="preserve">Ботинки кожаные с </w:t>
            </w:r>
            <w:proofErr w:type="gramStart"/>
            <w:r w:rsidRPr="00F3618C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F36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8C">
              <w:rPr>
                <w:rFonts w:ascii="Arial" w:hAnsi="Arial" w:cs="Arial"/>
                <w:sz w:val="20"/>
                <w:szCs w:val="20"/>
              </w:rPr>
              <w:t>подноском</w:t>
            </w:r>
            <w:proofErr w:type="spellEnd"/>
            <w:r w:rsidRPr="00F3618C">
              <w:rPr>
                <w:rFonts w:ascii="Arial" w:hAnsi="Arial" w:cs="Arial"/>
                <w:sz w:val="20"/>
                <w:szCs w:val="20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1 185,60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3618C" w:rsidRPr="00E449B0" w:rsidTr="009D16D7">
        <w:tc>
          <w:tcPr>
            <w:tcW w:w="567" w:type="dxa"/>
            <w:shd w:val="clear" w:color="auto" w:fill="auto"/>
            <w:vAlign w:val="center"/>
          </w:tcPr>
          <w:p w:rsidR="00F3618C" w:rsidRPr="00F3618C" w:rsidRDefault="00F3618C" w:rsidP="00F3618C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F3618C" w:rsidRPr="00F3618C" w:rsidRDefault="00F3618C" w:rsidP="009D16D7">
            <w:pPr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 xml:space="preserve">Сапоги кожаные с </w:t>
            </w:r>
            <w:proofErr w:type="gramStart"/>
            <w:r w:rsidRPr="00F3618C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F36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8C">
              <w:rPr>
                <w:rFonts w:ascii="Arial" w:hAnsi="Arial" w:cs="Arial"/>
                <w:sz w:val="20"/>
                <w:szCs w:val="20"/>
              </w:rPr>
              <w:t>подноском</w:t>
            </w:r>
            <w:proofErr w:type="spellEnd"/>
            <w:r w:rsidRPr="00F3618C">
              <w:rPr>
                <w:rFonts w:ascii="Arial" w:hAnsi="Arial" w:cs="Arial"/>
                <w:sz w:val="20"/>
                <w:szCs w:val="20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</w:tcPr>
          <w:p w:rsidR="00F3618C" w:rsidRPr="00F3618C" w:rsidRDefault="00F3618C" w:rsidP="009D16D7">
            <w:pPr>
              <w:jc w:val="center"/>
              <w:rPr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1 185,60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3618C" w:rsidRPr="00E449B0" w:rsidTr="009D16D7">
        <w:tc>
          <w:tcPr>
            <w:tcW w:w="567" w:type="dxa"/>
            <w:shd w:val="clear" w:color="auto" w:fill="auto"/>
            <w:vAlign w:val="center"/>
          </w:tcPr>
          <w:p w:rsidR="00F3618C" w:rsidRPr="00F3618C" w:rsidRDefault="00F3618C" w:rsidP="00F3618C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3618C" w:rsidRPr="00F3618C" w:rsidRDefault="00F3618C" w:rsidP="009D16D7">
            <w:pPr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Сапоги резиновые или ПВХ</w:t>
            </w:r>
          </w:p>
        </w:tc>
        <w:tc>
          <w:tcPr>
            <w:tcW w:w="851" w:type="dxa"/>
            <w:shd w:val="clear" w:color="auto" w:fill="auto"/>
          </w:tcPr>
          <w:p w:rsidR="00F3618C" w:rsidRPr="00F3618C" w:rsidRDefault="00F3618C" w:rsidP="009D16D7">
            <w:pPr>
              <w:jc w:val="center"/>
              <w:rPr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3618C" w:rsidRPr="00D70C86" w:rsidTr="009D16D7">
        <w:tc>
          <w:tcPr>
            <w:tcW w:w="567" w:type="dxa"/>
            <w:shd w:val="clear" w:color="auto" w:fill="auto"/>
            <w:vAlign w:val="center"/>
          </w:tcPr>
          <w:p w:rsidR="00F3618C" w:rsidRPr="00F3618C" w:rsidRDefault="00F3618C" w:rsidP="00F3618C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3618C" w:rsidRPr="00F3618C" w:rsidRDefault="00F3618C" w:rsidP="009D16D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 xml:space="preserve">Сапоги кожаные утепленные с </w:t>
            </w:r>
            <w:proofErr w:type="gramStart"/>
            <w:r w:rsidRPr="00F3618C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F36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8C">
              <w:rPr>
                <w:rFonts w:ascii="Arial" w:hAnsi="Arial" w:cs="Arial"/>
                <w:sz w:val="20"/>
                <w:szCs w:val="20"/>
              </w:rPr>
              <w:t>подноском</w:t>
            </w:r>
            <w:proofErr w:type="spellEnd"/>
            <w:r w:rsidRPr="00F3618C">
              <w:rPr>
                <w:rFonts w:ascii="Arial" w:hAnsi="Arial" w:cs="Arial"/>
                <w:sz w:val="20"/>
                <w:szCs w:val="20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F3618C" w:rsidRPr="00F3618C" w:rsidRDefault="00F3618C" w:rsidP="009D16D7">
            <w:pPr>
              <w:jc w:val="center"/>
              <w:rPr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2 475,60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  <w:tr w:rsidR="00F3618C" w:rsidRPr="00D70C86" w:rsidTr="009D16D7">
        <w:tc>
          <w:tcPr>
            <w:tcW w:w="567" w:type="dxa"/>
            <w:shd w:val="clear" w:color="auto" w:fill="auto"/>
            <w:vAlign w:val="center"/>
          </w:tcPr>
          <w:p w:rsidR="00F3618C" w:rsidRPr="00F3618C" w:rsidRDefault="00F3618C" w:rsidP="00F3618C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3618C" w:rsidRPr="00F3618C" w:rsidRDefault="00F3618C" w:rsidP="009D16D7">
            <w:pPr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 xml:space="preserve">Ботинки кожаные утеплённые с </w:t>
            </w:r>
            <w:proofErr w:type="gramStart"/>
            <w:r w:rsidRPr="00F3618C">
              <w:rPr>
                <w:rFonts w:ascii="Arial" w:hAnsi="Arial" w:cs="Arial"/>
                <w:sz w:val="20"/>
                <w:szCs w:val="20"/>
              </w:rPr>
              <w:t>защитным</w:t>
            </w:r>
            <w:proofErr w:type="gramEnd"/>
            <w:r w:rsidRPr="00F36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8C">
              <w:rPr>
                <w:rFonts w:ascii="Arial" w:hAnsi="Arial" w:cs="Arial"/>
                <w:sz w:val="20"/>
                <w:szCs w:val="20"/>
              </w:rPr>
              <w:t>подноском</w:t>
            </w:r>
            <w:proofErr w:type="spellEnd"/>
            <w:r w:rsidRPr="00F3618C">
              <w:rPr>
                <w:rFonts w:ascii="Arial" w:hAnsi="Arial" w:cs="Arial"/>
                <w:sz w:val="20"/>
                <w:szCs w:val="20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F3618C" w:rsidRPr="00F3618C" w:rsidRDefault="00F3618C" w:rsidP="009D16D7">
            <w:pPr>
              <w:jc w:val="center"/>
              <w:rPr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8C">
              <w:rPr>
                <w:rFonts w:ascii="Arial" w:hAnsi="Arial" w:cs="Arial"/>
                <w:sz w:val="20"/>
                <w:szCs w:val="20"/>
              </w:rPr>
              <w:t>2 475,60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18C" w:rsidRPr="00F3618C" w:rsidRDefault="00F3618C" w:rsidP="009D1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8C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до 31.12.2021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750099">
        <w:rPr>
          <w:rFonts w:ascii="Arial" w:hAnsi="Arial" w:cs="Arial"/>
          <w:b/>
          <w:sz w:val="20"/>
          <w:szCs w:val="20"/>
        </w:rPr>
        <w:t>7</w:t>
      </w:r>
      <w:r w:rsidR="0024033B" w:rsidRPr="00265A00">
        <w:rPr>
          <w:rFonts w:ascii="Arial" w:hAnsi="Arial" w:cs="Arial"/>
          <w:b/>
          <w:sz w:val="20"/>
          <w:szCs w:val="20"/>
        </w:rPr>
        <w:t xml:space="preserve"> дней</w:t>
      </w:r>
      <w:r w:rsidR="0024033B" w:rsidRPr="00265A00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lastRenderedPageBreak/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B55130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750099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DB7B3D">
        <w:rPr>
          <w:rFonts w:ascii="Arial" w:hAnsi="Arial" w:cs="Arial"/>
          <w:b/>
          <w:i/>
          <w:sz w:val="20"/>
          <w:szCs w:val="20"/>
          <w:u w:val="single"/>
        </w:rPr>
        <w:t xml:space="preserve">.2020 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>по адресу: г. Пенза, ул. Стрельбищенская, 13, кабинет охраны труда (обращатьс</w:t>
      </w:r>
      <w:r w:rsidR="00D83E60" w:rsidRPr="00D83E60">
        <w:rPr>
          <w:rFonts w:ascii="Arial" w:hAnsi="Arial" w:cs="Arial"/>
          <w:b/>
          <w:sz w:val="20"/>
          <w:szCs w:val="20"/>
          <w:u w:val="single"/>
        </w:rPr>
        <w:t>я к Мазиной Н.Е., тел. 23-15-44</w:t>
      </w:r>
      <w:r w:rsidRPr="00D83E60">
        <w:rPr>
          <w:rFonts w:ascii="Arial" w:hAnsi="Arial" w:cs="Arial"/>
          <w:b/>
          <w:sz w:val="20"/>
          <w:szCs w:val="20"/>
          <w:u w:val="single"/>
        </w:rPr>
        <w:t>).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неиспользованной, не ранее  3 кв. 2020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03202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32027" w:rsidRPr="00441775">
        <w:rPr>
          <w:rFonts w:ascii="Arial" w:hAnsi="Arial" w:cs="Arial"/>
          <w:sz w:val="20"/>
          <w:szCs w:val="20"/>
        </w:rPr>
      </w:r>
      <w:r w:rsidR="0003202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3202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32027" w:rsidRPr="00441775">
        <w:rPr>
          <w:rFonts w:ascii="Arial" w:hAnsi="Arial" w:cs="Arial"/>
          <w:sz w:val="20"/>
          <w:szCs w:val="20"/>
        </w:rPr>
      </w:r>
      <w:r w:rsidR="0003202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3202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32027" w:rsidRPr="00441775">
        <w:rPr>
          <w:rFonts w:ascii="Arial" w:hAnsi="Arial" w:cs="Arial"/>
          <w:sz w:val="20"/>
          <w:szCs w:val="20"/>
        </w:rPr>
      </w:r>
      <w:r w:rsidR="0003202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032027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32027" w:rsidRPr="00441775">
        <w:rPr>
          <w:rFonts w:ascii="Arial" w:hAnsi="Arial" w:cs="Arial"/>
          <w:sz w:val="20"/>
          <w:szCs w:val="20"/>
        </w:rPr>
      </w:r>
      <w:r w:rsidR="00032027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F3618C" w:rsidRPr="007933AA" w:rsidRDefault="00F3618C" w:rsidP="00F3618C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933AA">
        <w:rPr>
          <w:rFonts w:ascii="Arial" w:hAnsi="Arial" w:cs="Arial"/>
          <w:sz w:val="20"/>
          <w:szCs w:val="20"/>
        </w:rPr>
        <w:t>Сертификаты или Декларации соответствия требованиям Технического регламента Таможенного союза на предлагаемую продукцию (</w:t>
      </w:r>
      <w:proofErr w:type="gramStart"/>
      <w:r w:rsidRPr="007933AA">
        <w:rPr>
          <w:rFonts w:ascii="Arial" w:hAnsi="Arial" w:cs="Arial"/>
          <w:sz w:val="20"/>
          <w:szCs w:val="20"/>
        </w:rPr>
        <w:t>ТР</w:t>
      </w:r>
      <w:proofErr w:type="gramEnd"/>
      <w:r w:rsidRPr="007933AA">
        <w:rPr>
          <w:rFonts w:ascii="Arial" w:hAnsi="Arial" w:cs="Arial"/>
          <w:sz w:val="20"/>
          <w:szCs w:val="20"/>
        </w:rPr>
        <w:t xml:space="preserve"> ТС 019/2011), утвержденных Решением Комиссии Таможенного союза и зарегистрированную в соответствии с Порядком, установленным Комиссией Таможенного союза.  Приложения  к сертификатам или Декларациям с Перечнем конкретной продукции, на которую распространяется их действие. Соответствие образцов предоставленным сертификатам (Декларациям)</w:t>
      </w:r>
    </w:p>
    <w:p w:rsidR="008907FD" w:rsidRPr="008907FD" w:rsidRDefault="008907FD" w:rsidP="00020942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F3618C" w:rsidRPr="00F3618C">
        <w:rPr>
          <w:rFonts w:ascii="Arial" w:hAnsi="Arial" w:cs="Arial"/>
          <w:b/>
          <w:i/>
          <w:sz w:val="20"/>
          <w:szCs w:val="20"/>
        </w:rPr>
        <w:t>902 766</w:t>
      </w:r>
      <w:r w:rsidR="00F3618C" w:rsidRPr="00F3618C">
        <w:rPr>
          <w:rFonts w:ascii="Arial" w:hAnsi="Arial" w:cs="Arial"/>
          <w:sz w:val="20"/>
          <w:szCs w:val="20"/>
        </w:rPr>
        <w:t xml:space="preserve"> (Девятьсот две тысячи семьсот шестьдесят шесть) руб. </w:t>
      </w:r>
      <w:r w:rsidR="00F3618C" w:rsidRPr="00F3618C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752 305 </w:t>
      </w:r>
      <w:r w:rsidR="00F3618C" w:rsidRPr="00F3618C">
        <w:rPr>
          <w:rFonts w:ascii="Arial" w:hAnsi="Arial" w:cs="Arial"/>
          <w:sz w:val="20"/>
          <w:szCs w:val="20"/>
        </w:rPr>
        <w:t xml:space="preserve">(Семьсот пятьдесят две тысячи триста пять) руб. 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00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 xml:space="preserve">соответствии с Федеральным законом от 5.04.2013г. N 44-ФЗ "О </w:t>
      </w:r>
      <w:r w:rsidRPr="00441775">
        <w:rPr>
          <w:rFonts w:ascii="Arial" w:eastAsia="Arial Unicode MS" w:hAnsi="Arial" w:cs="Arial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 xml:space="preserve"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</w:t>
      </w:r>
      <w:r w:rsidRPr="00441775">
        <w:rPr>
          <w:rFonts w:ascii="Arial" w:hAnsi="Arial" w:cs="Arial"/>
          <w:b/>
          <w:sz w:val="20"/>
          <w:szCs w:val="20"/>
        </w:rPr>
        <w:lastRenderedPageBreak/>
        <w:t>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10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8C00FF">
        <w:rPr>
          <w:rFonts w:ascii="Arial" w:hAnsi="Arial" w:cs="Arial"/>
          <w:b/>
          <w:sz w:val="20"/>
          <w:szCs w:val="20"/>
        </w:rPr>
        <w:t>2.2020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15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C81A7B">
        <w:rPr>
          <w:rFonts w:ascii="Arial" w:hAnsi="Arial" w:cs="Arial"/>
          <w:b/>
          <w:sz w:val="20"/>
          <w:szCs w:val="20"/>
        </w:rPr>
        <w:t>2</w:t>
      </w:r>
      <w:r w:rsidR="008C00FF">
        <w:rPr>
          <w:rFonts w:ascii="Arial" w:hAnsi="Arial" w:cs="Arial"/>
          <w:b/>
          <w:sz w:val="20"/>
          <w:szCs w:val="20"/>
        </w:rPr>
        <w:t>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B470A1">
        <w:rPr>
          <w:rFonts w:ascii="Arial" w:hAnsi="Arial" w:cs="Arial"/>
          <w:sz w:val="20"/>
          <w:szCs w:val="20"/>
        </w:rPr>
        <w:lastRenderedPageBreak/>
        <w:t>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DB02D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157721">
        <w:rPr>
          <w:rFonts w:ascii="Arial" w:hAnsi="Arial" w:cs="Arial"/>
          <w:b/>
          <w:sz w:val="20"/>
          <w:szCs w:val="20"/>
        </w:rPr>
        <w:t>92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157721">
        <w:rPr>
          <w:rFonts w:ascii="Arial" w:hAnsi="Arial" w:cs="Arial"/>
          <w:b/>
          <w:sz w:val="20"/>
          <w:szCs w:val="20"/>
        </w:rPr>
        <w:t>09</w:t>
      </w:r>
      <w:r w:rsidR="00DB7B3D">
        <w:rPr>
          <w:rFonts w:ascii="Arial" w:hAnsi="Arial" w:cs="Arial"/>
          <w:b/>
          <w:sz w:val="20"/>
          <w:szCs w:val="20"/>
        </w:rPr>
        <w:t xml:space="preserve">.12.2020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32027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3202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B5BC4" w:rsidRPr="002A0EDC" w:rsidRDefault="000B5BC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B5BC4" w:rsidRDefault="000B5BC4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32027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B5BC4" w:rsidRPr="002A0EDC" w:rsidRDefault="000B5BC4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BD2B44" w:rsidRDefault="000B5BC4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32027" w:rsidP="002B2EA6">
      <w:pPr>
        <w:rPr>
          <w:rFonts w:ascii="Arial" w:hAnsi="Arial" w:cs="Arial"/>
          <w:sz w:val="20"/>
          <w:szCs w:val="20"/>
        </w:rPr>
      </w:pPr>
      <w:r w:rsidRPr="0003202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B5BC4" w:rsidRPr="002A0EDC" w:rsidRDefault="000B5BC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B5BC4" w:rsidRPr="00301BEC" w:rsidRDefault="000B5BC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5BC4" w:rsidRDefault="000B5BC4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32027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202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B5BC4" w:rsidRPr="003F7D6C" w:rsidRDefault="000B5BC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B5BC4" w:rsidRPr="003F7D6C" w:rsidRDefault="000B5BC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B5BC4" w:rsidRDefault="000B5BC4"/>
                <w:p w:rsidR="000B5BC4" w:rsidRDefault="000B5BC4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4" w:rsidRDefault="000B5BC4">
      <w:r>
        <w:separator/>
      </w:r>
    </w:p>
  </w:endnote>
  <w:endnote w:type="continuationSeparator" w:id="0">
    <w:p w:rsidR="000B5BC4" w:rsidRDefault="000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441775">
    <w:pPr>
      <w:pStyle w:val="a7"/>
      <w:rPr>
        <w:szCs w:val="18"/>
      </w:rPr>
    </w:pPr>
  </w:p>
  <w:p w:rsidR="000B5BC4" w:rsidRPr="00441775" w:rsidRDefault="000B5BC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4" w:rsidRDefault="000B5BC4">
      <w:r>
        <w:separator/>
      </w:r>
    </w:p>
  </w:footnote>
  <w:footnote w:type="continuationSeparator" w:id="0">
    <w:p w:rsidR="000B5BC4" w:rsidRDefault="000B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0839-F748-419D-84A8-6C487F8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7153</Words>
  <Characters>54255</Characters>
  <Application>Microsoft Office Word</Application>
  <DocSecurity>0</DocSecurity>
  <Lines>452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2020-12-09T11:33:00Z</dcterms:created>
  <dcterms:modified xsi:type="dcterms:W3CDTF">2020-12-09T11:34:00Z</dcterms:modified>
</cp:coreProperties>
</file>